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_INDEX - Stayful Lead Intelligence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updated: 7 May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Total entries: 37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FORMAT: ### | Name | Postcode | Beds | Profile Type | Key Context | Outcome | Date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001 | Kiran Bokil | NN5 6FW | 4 | STL Switch | Unfurnished, bad prior operator, setup cost + income consistency objections | Pending | 2026-05-05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002 | Avik Banerjee | LE3 5FP | 3 | Abroad | Semi-furnished, moving overseas, mortgage type unconfirmed, thin STL vs LTL margin | Pending | 2026-05-05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003 | Brandon Schraeder | YO31 7JS | 1 | Purchase | Buying near York Minster for holiday let, overseas owner, income exceeded expectations | Warm | 2026-04-27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004 | Robert Norris | DL1 2JZ | 3 | STL Switch | Two-person decision, projections exceed minimum threshold, property photos needed | Warm | 2026-04-20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005 | Nicholas Riley | DE65 6FB | 3 | Sell STL | Relocating to London, property on market, STL during sale period | Warm | 2026-04-09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006 | Elliot Pickering | W4 5LB | - | STL Switch | West London LTL to STL, local presence concern | Warm | 2026-03-18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007 | Karan Kaushik | DE1 3AZ | 5 | STL Switch | Derby city centre townhouse, STL clearly outperforms LTL | Warm | 2026-03-16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008 | Haider Ibrahim | B73 6TY | - | STL Switch | Sell vs STL decision, mortgage strategy discussed | Warm | 2026-03-16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009 | Linda Robinson | DL2 1EB | - | STL Switch | Refurbished bungalow, property gutted April 2026 - delayed | Warm | 2026-03-09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010 | Gareth Moses | Spennymoor | - | STL Switch | County Durham, cosmetic work needed, call back in 1 month | Warm | 2026-03-09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011 | Laura Duncker | DE4 | 4 | STL Switch | On market + STL, 38233 net vs 18857 LTL, viewing property, high conversion probability | Special Offer | 2026-04-27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012 | Mike Ralston | BS21 7AP | 7 | Sell STL | On market, 2970 mortgage, 13% offer made, wife also attended | Special Offer | 2026-04-24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013 | Sarah Stephens | SG19 2AX | 3 | Sell STL | On market 1yr, 24838 net vs 18000 LTL, offer expired no response | Special Offer | 2026-04-20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014 | Andrew McIntee | HG2 8AW | 3 | Abroad | Relocating Sept 2026, Harrogate flat, 26000 net, presentation deployed | Special Offer | 2026-04-17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015 | Karl Manning | BS14 9HB | 6 | Existing STL | Unhappy with Clifton Valley Lets, reviewing contract, 21-day corporate stay noted | Special Offer | 2026-04-09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016 | Ihsan ul-Haq Bashir | EC4M 7BY | 2 | STL Switch | City of London, portfolio landlord, 57-min meeting, regulatory concerns | Special Offer | 2026-03-25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017 | Magdalena Towler | TQ1 4QS | 4 | STL Switch | Torquay, no mortgage, overseas owner, unstated concern re no property visit | Special Offer | 2026-03-23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018 | Rebecca Keeling | LE1 6TH | 1 | Purchase | Leicester city centre purchase, offer expired, no response | Special Offer | 2026-03-20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019 | Boglarka Glenister | BB3 8UX | 5 | Abroad | Rossendale 5-bed, renovated, STL vs LTL comparison, abandoned | Lost | 2026-04-27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020 | Alan Forsyth | NG5 4AA | 1 | STL Switch | Developer Hockley Developments, Nottingham block, mixed STL/LTL strategy | Pending | 2026-04-20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021 | Ada Madu | NE5 3BR | 4 | R2R | Newcastle R2R, rent negotiation failed, thin margins after fees | Lost | 2026-04-13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022 | Oliver Glaves | S1 4LG | 1 | STL Switch | Sheffield city centre, 260 mortgage, setup cost likely barrier | Lost | 2026-04-10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023 | Will Hargreaves | NG7 1AY | 2 | Sell STL | Already on Airbnb underperforming, short sale timeline, manager switch unattractive | Lost | 2026-04-09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024 | Rasheed Ajani | S26 4QA | 2 | R2R | Sheffield R2R, margins too thin after rent plus fees | Lost | 2026-04-09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025 | Nina Rueschen | HA9 9RD | 3 | Sell STL | Mother's property, Swiss-based, refurb needed, multiple complexity factors | Lost | 2026-04-08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026 | Liam Yardley | BD1 5HT | 1 | STL Switch | Bradford 1-bed, requested guaranteed rent, weak STL market | Lost | 2026-04-08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027 | Marnus Fourie | CA11 8FE | 3 | Abroad | Cumbria, planning permission and neighbour concerns, multiple stakeholders | Lost | 2026-03-27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028 | Gary Johnston | CH2 2BT | 3 | STL Switch | Chester, tax and business rates concern, flexibility for personal use | Lost | 2026-03-25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029 | Shoaib Khalid | NG8 4AZ | - | STL Switch | Nottingham furnished, contract terms and performance concerns key objection | Lost | 2026-03-18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030 | Hany Rashwan | B16 8JG | - | STL Switch | Birmingham, spouse attended, 9 topics covered, September 2026 implementation | Warm | 2026-03-17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031 | Kes Kessington | M13 0NW | - | R2R | Manchester R2R, underperforming listing, thin margins after rent plus fees | Lost | 2026-03-12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032 | Rebecca Hutchinson | M16 0XX | 1 | Purchase | Manchester off-plan completing June 2026, follow up at completion | Warm | 2026-03-11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033 | Mohimi Ovbiagele | LE1 6TH | 2 | Purchase | Leicester, Lagos-based, developer offering competing management | Lost | 2026-03-09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034 | Taj Khan | HG1 5JX | 2 | STL Switch | Harrogate CONVERTED - signed 13% fee Mar 2026, trial unit in 19-apt block | Converted | 2026-03-09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035 | Mitchell Thomas | DE7 8AF | 6 | R2R | Derby shared accommodation - outside Stayful model, redirected to supported living | Lost | 2026-03-09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036 | Vanessa Wilson-Wood | NG2 4FW | 3 | EX-STL | PTK delivering ~£1,000/month vs £1,500-2,000 promise; consistency vs LTL concern; credibility of new manager | Special Offer | 2026-05-06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037 | Jack Mitchell | BS3 (Bristol) | 3 | STL-SW+SELL — Tenants leaving, also trying to sell (no interest) | £126k gross / £65,752 net vs £30k LTL; £400 ADR 82% occ; unfurnished modern spec; call cut short — rebook required | Warm | 2026-05-07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