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—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5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by: Claude (Stayful Project)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master index. One row per lead. Always small, always fast to read.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reads this first on every process-web-meeting run to get a full picture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leads before identifying the most relevant ones to read in depth.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full meeting notes here. This is a summary index only.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intelligence entries live in: Intelligence Entries/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action plan documents live in: Action Plans/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READ THE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#    : Sequential number — matches the filename in Intelligence Entries/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 : Lead full name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Postcode   : Property postcode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Beds       : Bedroom count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: Lead profile type (short form — see key below)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: Primary objections raised (2–3 words max per objection)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   : Pending / Converted / Warm / Lost (reason)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      : Web meeting date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TYPE KEY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STL-SW   = Existing Property → STL Switch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EX-STL   = Existing STL seeking management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    = Purchasing for STL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    = Selling — STL in meantime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   = Moving abroad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R2R      = Rent to rent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KEY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  = Awaiting decision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= Signed 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     = Needs more time / nurture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     = Did not convert (reason in brackets)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INDEX TABLE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| Name              | Postcode | Beds | Type    | Key Objections                        | Outcome  | Date      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-----|-------------------|----------|------|---------|---------------------------------------|----------|------------|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 | Kiran Bokil       | NN5 6FW  | 4    | STL-SW  | Setup cost, income margin,            | PENDING  | 2026-05-05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         |          |      |         | trust (prev bad operator)             |          |          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 | Avik Banerjee     | LE3 5FP  | 3    | ABROAD  | Financial viability (thin margin),    | PENDING  | 2026-05-05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         |          |      |         | mortgage type TBC, setup cost         |          |      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[NEW ROWS ADDED ABOVE THIS LINE — most recent at bottom]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