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— Nicholas Riley — DE65 6FB — Sell STL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Laburnum Cottage, 171 Main Street, Repton, DE65 6FB — 3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nicholas@rileydirect.com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11692608888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cc9c049b-5035-42cf-a5e3-20a0a31dafdc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https://stayful.monday.com/product_view/notetaker/meetings-page-product-view/summaries/cc9c049b-5035-42cf-a5e3-20a0a31dafdc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Sell STL — Property Not Sold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~2000/mo residential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20000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~13,000 estimated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0 (furnished)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Nicholas wants to move to London (rent, not buy) while Repton property remains unsold. Wants flexibility to return. STL while listed for sale. Notetaker meeting 9 Apr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Net ~£20,000/yr from 12 comparables (~63% occ). Owner costs ~£2,500/mo (mortgage, council tax, utilities). Annual shortfall vs costs: ~£10,000. Despite shortfall, owner said 'not a non-starter'.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DECISIONS: Owner to rent furnished place in London (Zac advised keeping furniture in Repton). Contract sent. Owner to review and respond next week. Timeline: out of Repton by summer, London rental ~3 months.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 relocation goals &amp; flexibility | Property costs &amp; revenue analysis | Onboarding &amp; property preparation | Operational model, fees &amp; bookings | Timeline, furniture &amp; next steps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~£10,000/yr shortfall vs holding costs — not a dealbreaker (flexibility value outweighs). Photos from Abode need review for STL suitability.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Flexibility argument: can return to Repton if London doesn't work. Short onboarding (2-3 weeks) vs 3 months to find London rental — STL can start faster.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Financial case thin — owner accepting income loss for flexibility. Risk of slow decision.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'flexibility to return' | 'not a non-starter' | 'by the summer'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See Monday updates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"005",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"Laburnum Cottage, 171 Main Street, Repton, DE65 6FB", "postcode": "DE65 6FB", "bedrooms": "3"},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"Nicholas Riley", "email": "nicholas@rileydirect.com", "type": "Sell STL — Property Not Sold", "monday_id": "11692608888"},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"~2000/mo residential", "stl_projected_annual_net": "20000", "ltl_annual": "13000", "setup_cost_estimate": "0"},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"2026-04-09", "notetaker_id": "cc9c049b-5035-42cf-a5e3-20a0a31dafdc", "outcome": "Warm", "profile_short": "Sell STL"},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"£10k/yr shortfall vs holding costs", "what_moved": "Flexibility — can return if London fails + STL starts faster than London rental", "drop_off": "Financial case thin — value-based not income-based decision", "language": "'flexibility to return' | 'not a non-starter'"}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