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007 — Karan Kaushik — DE1 3AZ — STL Switch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2026-03-16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24c North Street Derby DE1 3AZ — 5-bed townhouse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karan2012kaushik@gmail.com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item ID: 11484810594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 ID: e8a8c49d-84b7-411f-b0f4-c0fb04dc119d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 existing property to STL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TOPICS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Owner Background &amp; Property Context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Long Let vs Short Let Financial Comparison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Stayful Service Model &amp; Fees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Operations, Reporting &amp; Communication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Property Setup, Furnishing &amp; Next Steps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call clarified the financial and operational trade-offs between a standard long-term let and a short-let / serviced accommodation model for Karan's five-bed townhouse in Derby city centre. The financial comparison showed STL materially outperforming LTL. The service model, fees, reporting dashboard and communication approach were explained. Property setup and furnishing requirements for the Derby property were assessed. Next steps included reviewing figures and documentation.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- 5-bed Derby city centre — strong STL demand profile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comparison clearly favoured STL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and communication model explained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Furnishing/setup requirements assessed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TRACKING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WARM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status: Warm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 ] Converted [ ] Warm — reason:___ [ ] Lost — reason:___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{"entry":"007","source":"monday_notetaker","property":{"address":"24c North Street Derby","postcode":"DE1 3AZ","bedrooms":"5"},"lead":{"name":"Karan Kaushik","email":"karan2012kaushik@gmail.com","type":"STL Switch","monday_status":"Warm"},"financials":{"mortgage_monthly":"0","stl_net_annual":"0","ltl_net_annual":"0","setup_cost":"0"},"meeting":{"date":"2026-03-16","notetaker_id":"e8a8c49d-84b7-411f-b0f4-c0fb04dc119d","topics":["Owner Background","LTL vs STL comparison","Service Model","Operations","Setup &amp; Next Steps"],"outcome":"warm"}}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