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 — Karan Kaushik — DE1 3AZ — STL Switch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2026-03-16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24c North Street, Derby, DE1 3AZ — 5 bed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karan2012kaushik@gmail.com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11484810594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meeting ID: e8a8c49d-84b7-411f-b0f4-c0fb04dc119d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link: https://stayful.monday.com/product_view/notetaker/meetings-page-product-view/summaries/e8a8c49d-84b7-411f-b0f4-c0fb04dc119d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            : STL Switch — Rational Evaluator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Mortgage/Rent    : 800/mo IO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annual   : 24205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LTL annual       : ~18,000 (LTL £1,700/mo unfurnished)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 est   : 0 (Monday) / full setup needed — unfurnished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Beds             : 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INTELLIGENCE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Karan owns a 5-bed Derby townhouse via limited company (with wife). First investment property. Currently receiving LTL offers of £1,700/mo unfurnished. Evaluating STL. Notetaker meeting 16 Mar 2026.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FIGURES: STL gross ~£41,000/yr, net ~£24,205/yr (£2,017/mo). LTL £1,700/mo = £1,550 net after agent fees. STL advantage: ~£467/mo but requires full furnishing investment. Mortgage IO ~£800/mo. Near university, city centre, motorway.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DECISIONS: Karan undecided — LTL is simpler path. Acknowledges the higher income case but calls it possibly 'an excuse not to do the harder thing'. Zac to send furnishing price, income report, agreement.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 background &amp; property context | Long let vs short let financial comparison | Stayful service model &amp; fees | Operations, reporting &amp; communication | Property setup, furnishing &amp; next steps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/ CONCERNS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cost/effort barrier (unfurnished, full investment needed). Income instability vs £1,700 guaranteed.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 THIS LEAD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net materially higher (£2,017 vs £1,550). Ltd company structure suits STL tax treatment. Property control vs tenancy.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 POINT / ABANDONMENT REASON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Setup effort and furnishing cost. Wants simpler path.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LANGUAGE USED BY LEAD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'first investment property' | '£1,700 PCM unfurnished' | 'it could be an excuse'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  : Warm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Follow-up: See Monday updates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Notetaker: Full AI summary in Monday Notetaker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JSON RECORD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"entry": "007",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"property": {"address": "24c North Street, Derby, DE1 3AZ", "postcode": "DE1 3AZ", "bedrooms": "5"},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"lead": {"name": "Karan Kaushik", "email": "karan2012kaushik@gmail.com", "type": "STL Switch — Rational Evaluator", "monday_id": "11484810594"},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"financials": {"mortgage_or_rent": "800/mo IO", "stl_projected_annual_net": "24205", "ltl_annual": "18000", "setup_cost_estimate": "full setup unfurnished"},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"meeting": {"date": "2026-03-16", "notetaker_id": "e8a8c49d-84b7-411f-b0f4-c0fb04dc119d", "outcome": "Warm", "profile_short": "STL Switch"},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"intelligence": {"objections": "Setup effort + income instability vs £1,700 guaranteed LTL", "what_moved": "£2,017/mo vs £1,550 net + ltd company tax advantage", "drop_off": "Setup cost + wants simpler path", "language": "'first investment property' | 'it could be an excuse'"}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