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010 — Gareth Moses — Spennymoor — STL Switch — Warm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2026-03-09 | Monday ID: 11434803394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gareth.moses97@gmail.com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 ID: ec8b7133-8f60-44d6-b8d3-f918b96e31ee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 | Outcome: Warm | Property: Spennymoor County Durham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Property details and owner objectives, Revenue projections and mortgage coverage, Profitability plan and direct booking strategy, Guest vetting risk management and damages, Service scope responsibilities and communication, Furnishing setup inspections and go-live timeline, Market demand target guests and pricing strategy, Next steps and follow-up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focused on evaluating the Spennymoor property for short-term rental, projected profitability versus mortgage costs, and how Stayful would manage the setup and ongoing operations. Revenue projections were presented and compared against mortgage costs. The profitability plan including direct booking strategy was outlined. Guest vetting, risk management and damage protection were discussed. Service scope was clarified. Furnishing and setup requirements assessed with go-live timeline discussed. NOTE from April 2026 update: "call in around 1 month's time waiting on an email as sounds mostly cosmetic so going to see if we can help" — suggests property needs cosmetic work before launch.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WARM | Monday: Warm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{"entry":"010","source":"monday_notetaker","property":{"address":"Spennymoor County Durham","postcode":"Spennymoor"},"lead":{"name":"Gareth Moses","email":"gareth.moses97@gmail.com","type":"STL Switch","monday_status":"Warm"},"meeting":{"date":"2026-03-09","notetaker_id":"ec8b7133-8f60-44d6-b8d3-f918b96e31ee","outcome":"warm"}}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