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 — Laura Duncker — DE4 — Sell STL —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2026-04-27 | Email: lauraduncker@hotmail.com | Monday ID: 11854617634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2d87f424-bdf2-4d4b-afb5-e58edd3ad350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Sell STL — Property On Market. 4 bed Matlock. Mortgage £2,400/mo residential. STL net £38,233/yr. LTL £18,857/yr. Fully furnished.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Laura and Dave (teachers) relocating abroad Aug/Sept. 4-bed renovated Matlock on market 1 month, two failed sales. Goal: cover mortgage + maintenance buffer. Gross £73,525/yr projected. Net £3,186/mo. 13% fee if signed before 8 May. Can be listed for sale and STL simultaneously. Fast onboarding (~1 week). Exit fee ~£500 if sold within 6-month term.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sale/relocation/Airbnb | Revenue projection | Management scope &amp; fees | Matlock occupancy patterns | Competition &amp; listing quality | Contract terms &amp; sale scenarios | Mortgage type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Property may sell before 6-month term (bespoke exit arranged). Tourist-heavy market = seasonality. Dave review required.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£3,186 net vs £2,400 mortgage. Fast onboarding. Simultaneous sale + STL. 13% deadline urgency.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'cover the mortgage and generate a small surplus' | 'increasingly unwilling to accept low offers'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{"entry":"011","postcode":"DE4","monday_id":"11854617634","stl_net":38233,"mortgage":2400,"outcome":"Special offer applied","notetaker":"2d87f424-bdf2-4d4b-afb5-e58edd3ad350"}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