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011 Laura Duncker Matlock STL Switch Special Offer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2026-04-27 Monday ID 11854617634</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lauraduncker@hotmail.com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Monday AI Notetaker ID 2d87f424-bdf2-4d4b-afb5-e58edd3ad350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STL Switch Outcome Special Offer STL net 38233 yr LTL 18857 yr Property Matlock Derbyshire 4 bed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Topics covered property sale relocation plans Airbnb objectives revenue projection financials management service scope fees occupancy patterns Matlock competition listing quality contract terms sale scenarios mortgage type next steps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The call assessed the homeowner Matlock property for Airbnb alongside an ongoing sales process. Dave partner also on the call. Projected revenue for Matlock presented financial comparison against LTL management service scope occupancy data for area covered. Contract terms including property sale scenario discussed. Mortgage type implications covered. Special offer applied after meeting 13 percent management fee plus VAT. STL annual net 38233 significantly outperforms LTL annual 18857. As of April 2026 fairly high chance of closing viewing property this week going through agreement currently.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SPECIAL OFFER APPLIED HIGH CONVERSION PROBABILITY as of late April 2026</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SPECIAL OFFER Monday status Special offer applied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entry 011 source monday_notetaker lead name Laura Duncker email lauraduncker@hotmail.com type STL Switch monday_status Special offer applied financials stl_net_annual 38233 ltl_net_annual 18857 meeting date 2026-04-27 notetaker_id 2d87f424-bdf2-4d4b-afb5-e58edd3ad350 outcome special_offer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