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 — Ihsan ul-Haq Bashir — EC4M 7BY — STL Switch — Special Offer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2026-03-25 | Email: ihsan.bashir@hotmail.co.uk | Monday ID: 11578213915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67e6d405-391e-4aff-8740-bec61e355150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STL Switch — Portfolio Landlord. 2 bed, 1,092 sqft, Warwick Lane, St Pauls/EC4. No mortgage (freehold). STL net £61,334/yr. LTL £48,600/yr (£4,050/mo). Service charge ~£8,000-8,500/yr.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Ihsan is a sophisticated portfolio landlord (HMOs, student units, multiple properties). Almond Lodge 2-bed in St Pauls. Currently LTL via Dexters at £4,050/mo. Tenants leaving late June. 57-minute meeting. Income: gross £85,896/yr, £332 nightly, 71% occ, net £61,334/yr. LTL: £4,050/mo = £48,600/yr. STL advantage: £12,734/yr. Ihsan needs ~£5,000/mo net (double current nightly equivalent). CRITICAL TRUST BARRIER: Corporate let in 2017 converted flat into 4 rooms for high-end prostitution — £20,000 refurb, 4-year legal battle. This is why he rejected corporate lets and returned to traditional LTL. Son to handle Airbnb comms going forward. Concierge on-site can manage access. Implementation June after tenants leave. Building freehold permission confirmed. Potential future properties (Gatwick, Hayes, Cornwall).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Income estimate &amp; comparison | Property details, tenancy &amp; portfolio context | Regulatory concerns &amp; past letting experiences | STL operations, security &amp; guest profile | Implementation plan, timelines &amp; agreement | Furnishing, layout &amp; capacity strategy | Future properties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Past operator misuse (flat used as brothel) — CRITICAL. Addressed: ID checks, £200-300 deposit, insurance, concierge access. Selective licensing concern — likely exempt.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Income substantially above LTL (£61k vs £49k). Portfolio landlord = understands investment logic instantly. Concierge building removes access complexity. Son manages Airbnb.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Implementation June when tenants leave. Son needs to be looped in. Strong lead.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'at least double the nightly equivalent' | '£5,000 net per month' | 'my son handles the Airbnb'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{"entry":"016","postcode":"EC4M 7BY","monday_id":"11578213915","stl_net":61334,"ltl":48600,"mortgage":0,"outcome":"Special offer applied","notetaker":"67e6d405-391e-4aff-8740-bec61e355150","key_insight":"portfolio_landlord_past_bad_operator_trust_barrier"}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