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016 Ihsan ul-Haq Bashir EC4M 7BY STL Switch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2026-03-25 Monday ID 11578213915 Email ihsan.bashir@hotmail.co.uk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67e6d405-391e-4aff-8740-bec61e355150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2 bed 57-minute meeting City of London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Airbnb income estimate and comparison for Almond Lodge Warwick Lane property details current tenancy and wider portfolio context regulatory concerns and past letting experiences short-term let operations security and guest profile implementation plan timelines and agreement structure furnishing layout and capacity strategy future properties and ancillary services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whether converting Almond Lodge Warwick Lane from a long-term tenancy to short-term letting via Stayful would be financially advantageous. Ihsan has a wider property portfolio context. Regulatory concerns and past letting experiences discussed at length. Operations security and guest profile for City of London location covered. Implementation plan timeline and agreement structure outlined. Furnishing layout and capacity strategy for the 2-bed 1092 sqft property discussed. Future properties and potential for wider portfolio management explored. Special offer applied. 57-minute in-depth meeting indicating high engagement.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 portfolio landlord high engagement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016 lead name Ihsan ul-Haq Bashir email ihsan.bashir@hotmail.co.uk type STL Switch property address Flat 7 Amen Lodge Warwick Lane London postcode EC4M 7BY bedrooms 2 note Portfolio landlord City of London property 1092sqft meeting date 2026-03-25 notetaker_id 67e6d405-391e-4aff-8740-bec61e355150 outcome special_offer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