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— Magdalena — TQ1 4QS — STL Switch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2026-03-23 | Email: magdalena.towler@gmail.com | Monday ID: 11350407818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47385609-0e57-4380-9c9a-776c64e63a4d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Overseas Owner. 4 bed Torquay TQ1. No mortgage. STL net: best £49k/yr, avg £35k/yr, worst £29k/yr.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Magdalena and husband based in Turkey. 4-bed Torquay property, no mortgage. Fully managed service needed. 13% fee if signed before 10 April. Two key safes to be installed. Parking: on-street only (no designated space). Garage not ready. New listing (zero reviews) — Airbnb algo boost in first month.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updates: Apr 23 — 'viewing the property next week, seems to have reservations because Zac is not viewing personally but has not voiced this.' Apr 28 — 'fairly high chance of closing, going through agreement currently.' Sticking point: Zac relies on cleaners for inspections (not personal visit). Husband agreement required.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Financial projections &amp; fee structure | Management scope, maintenance &amp; guest support | Booking platforms &amp; direct booking strategy | Onboarding process, inspections &amp; logistics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Zac not personally viewing property (uses cleaners) — unvoiced concern. Husband agreement needed. Parking limitations for guests.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High net income vs no-income (no mortgage). Overseas owner = full management essential. 13% fee deadline.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Still in agreement review. High chance cited Apr 28. Husband is the blocker.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'looking at the contract for signing' | 'viewing the property next week' | 'fairly high chance'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{"entry":"017","postcode":"TQ1 4QS","monday_id":"11350407818","stl_net":35000,"mortgage":0,"outcome":"Special offer applied","notetaker":"47385609-0e57-4380-9c9a-776c64e63a4d"}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