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026 Liam Yardley BD1 5HT STL Switch Lost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2026-04-08 Email liam.yardley@gmail.com Monday 11618839816</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Notetaker ID b349bdf6-c0f2-4eaf-b778-8420e93bfa0a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Type STL Switch 1 bed Bradford Mortgage 550/month Outcome Lost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Topics owner preferences and risk tolerance guaranteed rent vs short-let options short-let financial projections for Bradford flat local market context and setup requirements next steps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The call focused on assessing whether Liam Bradford 1-bed flat is suitable for short-let. Liam asked about guaranteed rent options - clear indicator of risk-aversion and preference for certainty over upside. Short-let financial projections presented but Bradford market relatively weak for STL. Status Abandoned likely because lead wanted guaranteed rent security which Stayful does not offer, or STL projections did not justify setup costs for 1-bed Bradford property.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 intel GUARANTEED RENT REQUEST - lead asked about guaranteed rent schemes explicitly. This is a disqualifying signal for STL management. Also 1-bed Bradford is a weak STL market.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LOST Monday status Abandoned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entry 026 lead Liam Yardley email liam.yardley@gmail.com type STL Switch postcode BD1 5HT bedrooms 1 mortgage 550 note Guaranteed rent request weak Bradford STL market outcome lost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