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027 — Liam Yardley — BD1 5HT — STL Switch — Abandoned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2026-04-08 | Email: liam.yardley@gmail.com | Monday ID: 11618839816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Notetaker: b349bdf6-c0f2-4eaf-b778-8420e93bfa0a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PROFILE: Guaranteed Rent Seeker. 1 bed Bradford. Mortgage £550/mo. STL net ~£7,366/yr. Product mismatch — Stayful cannot offer guaranteed rent on 1-bed.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MEETING: Liam owns a 1-bed Bradford flat as a hands-off investment. Works abroad. Wants guaranteed rent — predictable, consistent income. Stayful CANNOT offer guaranteed rent on 1-bed (insufficient margin). Gross ~£23,000/yr, £102.90 nightly, 63% occ, net ~£7,366/yr after all costs including £550/mo mortgage. No loss months (worst ~£100 net, best ~£950-1,000). Zac shared STL projections anyway. Liam not interested — wants guarantee. Abandoned: fundamental product mismatch.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INTELLIGENCE: Guaranteed rent seekers are a distinct segment that cannot convert to standard STL management. Key identifier: 'I want guaranteed rent' / 'predictable income' / 'hands off investment' combined with works abroad. Should be pre-qualified out on first call when property is 1-bed (Stayful can't offer guarantee on 1-bed). 2-bed+ properties may be worth holding for a guaranteed rent conversation.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TOPICS: Owner preferences &amp; risk tolerance | Guaranteed rent vs short-let options | Short-let financial projections | Local market context &amp; setup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OBJECTIONS: Guaranteed rent — Stayful can't offer on 1-bed. Variable income unacceptable.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DROP-OFF: Abandoned. Product mismatch. Cannot be resolved without guaranteed rent product.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LANGUAGE: 'very much hell bent on the guaranteed rent' | 'low-risk, predictable income' | 'hands-off investment'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JSON: {"entry":"027","postcode":"BD1 5HT","monday_id":"11618839816","stl_net":7366,"mortgage":550,"outcome":"Abandoned","reason":"guaranteed_rent_seeker_product_mismatch_1bed","notetaker":"b349bdf6-c0f2-4eaf-b778-8420e93bfa0a","key_insight":"pre_qualify_out_guaranteed_rent_seekers_on_1bed"}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