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 — Gary Johnston — CH2 2BT — STL Switch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2026-03-25 | Email: gary.a.johnston@gmail.com | Monday ID: 11573632623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d4c52526-c036-4f82-b38f-a60ba5468829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STL Switch — Part-Year Owner (Thailand 9 months). 3 bed Chester. No mortgage. STL net: £17,700-27,600/yr range.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Gary spends 9 months in Thailand and 3 months (June-Aug) in UK. 3-bed Chester house fully furnished and well-equipped. Current tenant decision pending (renew or vacate). Wants to at least match £1,350/mo net LTL income. Gross ~£38,292/yr, £145 nightly, 72% occ. Net range: £17,700-27,600/yr. Extra costs vs LTL: ~£500/mo (utilities, council tax). STL for 9 months likely matches or exceeds. Business rates switch advised (VOA — likely zero rates for small property). Zac to confirm Chester property count. No mortgage = competitive position. Abandoned — tenant likely renewed or Gary decided against.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Income analysis &amp; financial comparison | Property usage &amp; flexibility | Service offering, fees &amp; onboarding | Operations, case studies &amp; data | Tax implications &amp; business rates | Next steps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Tenant may have renewed (primary dependency). Extra £500/mo costs narrows advantage. Hospital proximity adds demand but property slightly outside city.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Flexible calendar blocking (can vary Thailand/UK split). No mortgage = all income profit. Business rates switch potential.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Tenant renewal most likely cause.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'at least match my current net' | '£500 extra per month' | 'waiting to hear from the tenant'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{"entry":"029","postcode":"CH2 2BT","monday_id":"11573632623","stl_net_range":"17700-27600","mortgage":0,"outcome":"Abandoned","reason":"tenant_likely_renewed","notetaker":"d4c52526-c036-4f82-b38f-a60ba5468829"}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