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031 — Hany Rashwan — B16 8JG — STL Switch — In the Future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2026-03-17 | Email: hrashwan7@gmail.com | Monday ID: 11503154761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Notetaker: dfad497c-382c-4d14-b692-ae1dfff2694f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PROFILE: STL Switch — Overseas Owner. 5 bed Birmingham B16. Mortgage £850/mo. STL net £31,493/yr. LTL £19,800/yr (£1,650/mo). Cannot reduce below 15% management fee.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MEETING: Hany and Shezza Rashwan (co-owners, overseas). 5-bed near university, Botanical Garden, Morrisons. LTL via Accord at £1,650/mo (~4yrs). Dissatisfied with Accord. New tenant legislation (May) as trigger. 57-minute meeting. Gross ~£60,600/yr, £254 nightly, 66% occ, net £31,493/yr (~£2,624/mo). Mortgage £850/mo. Net after mortgage: ~£1,774/mo. LTL net: ~£1,500/mo. STL advantage: +£274/mo. Hany asked to reduce 15% management fee — refused. Selective licensing (Birmingham) likely exempt for STL. HMO licensing also likely exempt but needs council confirmation. Accord contract advice needed. Cannot visit until June. Status: 'In the Future' / September target.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TOPICS: Income potential &amp; financial structure | Current property &amp; motivation | STL operations &amp; profitability plan | Guest vetting, risk management | Cleaning, maintenance &amp; local team | Property setup &amp; furnishing requirements | Licensing, regulations, tax &amp; lender considerations | Onboarding process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OBJECTIONS: Management fee 15% — tried to reduce (refused). Selective/HMO licensing uncertainty (Birmingham). Cannot visit UK until June. Accord agency 6-month notice period. 5-bed semi-furnished = significant setup.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MOVED: STL net substantially above LTL (~£31k vs £20k). Portfolio landlord understands investment logic instantly. Professional ops vs Accord dissatisfaction. Ltd company tax advice resonated.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DROP-OFF: September 2026 timeline. Licensing confirmation needed. June UK visit required.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LANGUAGE: 'September will be looking into this' | 'dissatisfied with Accord' | 'cannot reduce below 15%'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JSON: {"entry":"031","postcode":"B16 8JG","monday_id":"11503154761","stl_net":31493,"ltl":19800,"mortgage":850,"outcome":"In the Future","timeline":"September 2026","notetaker":"dfad497c-382c-4d14-b692-ae1dfff2694f"}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