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031 Kes Kessington M13 0NW R2R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2026-03-12 Email keskessington@atnproperty.com Monday 11475779335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c2cf625b-7884-41c4-9d98-57a133387ead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R2R Manchester rent-to-rent Outcome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performance and current challenges revenue analysis and profitability vs costs Stayful profitability plan and direct bookings strategy management service structure contract terms pricing payouts tools systems and team communication guest vetting deposits and property protection owner responsibilities vs Stayful responsibilities onboarding process and next steps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why Kes current rent-to-rent property is underperforming on online platforms and how Stayful management and profitability plan could improve income and visibility. Revenue analysis showed margins tight after rent to landlord plus platform fees plus management fees. Full service model and direct booking strategy explained. Guest vetting and deposit protection covered. Contract terms discussed. Status Abandoned - R2R margin too thin to make Stayful management viable.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R2R with existing underperformance - thin margin after rent plus fees. Direct booking strategy discussed but insufficient to close gap. Classic R2R abandonment pattern.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031 lead Kes Kessington email keskessington@atnproperty.com type R2R postcode M13 0NW note R2R thin margins underperforming listing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