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032 — Kes Kessington — M13 0NW — R2R — Abandoned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2026-03-12 | Email: keskessington@atnproperty.com | Monday ID: 11475779335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c2cf625b-7884-41c4-9d98-57a133387ead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Rent-to-Rent. Manchester M13. Rent £1,300/mo + bills £300/mo = £1,600/mo costs = £19,200/yr. STL net ~£20,000/yr. Margin: ~£800/yr = near zero. 13% if signed before 18 March.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Kes (property company) has held R2R property ~6 weeks. Paying £1,300/mo rent + £300 bills. Only a couple of 1-night bookings + short April/June stays. No professional photos yet. Using PriceLabs but unsure why bookings are low. Gross ~£36,000/yr, £171 nightly, 60% occ, net ~£20,000/yr. At £1,600/mo costs = £800/yr margin = near zero. Zac: 'without a profitability plan this doesn't work.' Showed York case study: £36k projected → £48k actual (direct bookings strategy). 13% deadline 18 March. Kes said he'd think about it. Abandoned.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INTELLIGENCE: R2R deals with &lt;£2,000/yr margin are not viable under full management. £1,300 rent is the ceiling for Manchester M13 to be viable with Stayful management fees. Direct booking plan can improve margin but cannot rescue fundamentally thin deals. No professional photos = immediate listing quality problem.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Property performance &amp; challenges | Revenue analysis &amp; profitability vs costs | Stayful profitability plan &amp; direct bookings | Management service structure | Tools &amp; communication | Guest vetting | Onboarding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Margins too thin without direct booking plan (~£800/yr). No professional photos hurting early bookings. 18 March deadline passed.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MOVED: York case study (£36k → £48k) showed profitability plan potential. But margins too fundamentally thin.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Abandoned. 18 March deadline passed. Too thin even with direct booking plan.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'not profitable on platforms alone' | '£800 per year' | 'I'll have a think about it'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{"entry":"032","postcode":"M13 0NW","monday_id":"11475779335","rent":1300,"stl_net":20000,"margin":800,"outcome":"Abandoned","reason":"margins_too_thin_deadline_passed","notetaker":"c2cf625b-7884-41c4-9d98-57a133387ead"}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