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037 — Jack Mitchell — BS3 (Bristol) — STL-SW+SELL — Warm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2026-05-07 | Email: jacksrmitchell@live.co.uk | Monday ID: 11928280535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Granola web meeting | Meeting ID: fa2097b3-f9bc-4fe4-8d69-f4b5d378306f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STL Switch + Sell — Tenants gave notice; also trying to sell with no market interest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3-bed house, 64 Duncary Road, Bristol BS3 4LA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Spec: Unfurnished, modern, underfloor heating, small courtyard garden, street parking only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Mortgage: Owner-occupier (mortgage status — tenants leaving, exploring options)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Warm — call cut short by connection issues; no offer made; rebooking required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SUMMARY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held 7 May 2026, 10:45am. Call dropped partway through; Jack rejoined and then left early due to further connection delays. Meeting was not completed. However, Granola captured a summary of what was covered: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3-bed Bristol BS3 house, currently let unfurnished at £2,500/month. Tenants have given notice. Also on the market but no buyer interest at present.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analysis shown: £126,000 gross annual revenue potential based on 12 comparable local properties. Net payout to Jack: £65,752/year (~£5,400/month). Average nightly rate £400, 82% occupancy.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 drivers highlighted: proximity to Bristol Royal Hospital and university, 9 transport links nearby, 500+ events within reasonable distance.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1 expectations discussed: 20–30% slower initially until listing establishes. Summer setup timing noted as optimal.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structure covered: 15%+VAT fee (already factored into £65k net figure), 6-month minimum contract then 3-month rolling notice. Notice flexibility if property sells depending on existing bookings. Stayful handles furnishing (owner retains furniture ownership). Viewing management via online calendar portal.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 agreed before cut-off: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Jack to send Rightmove link for property photos/details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Stayful to send furnishing cost estimate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Self-furnishing guide also offered as alternative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INTELLIGENCE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 is a motivated lead — attended promptly, has a genuine transition event (tenants leaving), and property spec (modern, underfloor heating, BS3) is strong for STR. The £126k gross / £65,752 net vs £30k long-let is a compelling case requiring no hard sell. The meeting not completing is the only friction — he never got to ask his questions or push back. Priority is a clean rebook where he can engage fully. The sell angle is secondary — he's had no buyer interest, so STR is the live option right now.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 RAISED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captured — meeting cut off before objections stage.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RESONATED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figures shown and accepted (no pushback noted in summary). Summer timing for setup was received positively — call ended before further engagement.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LANGUAGE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verbatim phrases captured — transcript unavailable (Granola paid tier required).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