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after="240"/>
        <w:jc w:val="left"/>
      </w:pPr>
      <w:r>
        <w:rPr>
          <w:rFonts w:ascii="Arial" w:hAnsi="Arial"/>
          <w:b/>
          <w:color w:val="000000"/>
          <w:sz w:val="22"/>
        </w:rPr>
        <w:t>Universo visual y datos</w:t>
      </w:r>
    </w:p>
    <w:p>
      <w:pPr>
        <w:keepLines/>
        <w:spacing w:after="40"/>
      </w:pPr>
      <w:r>
        <w:rPr>
          <w:rFonts w:ascii="Arial" w:hAnsi="Arial"/>
          <w:b/>
          <w:color w:val="000000"/>
          <w:sz w:val="22"/>
        </w:rPr>
        <w:t>Referencia:</w:t>
      </w:r>
      <w:r>
        <w:rPr>
          <w:rFonts w:ascii="Arial" w:hAnsi="Arial"/>
          <w:b w:val="0"/>
          <w:color w:val="000000"/>
          <w:sz w:val="22"/>
        </w:rPr>
        <w:t xml:space="preserve"> Proyecto 2, Diseño generativo de personajes</w:t>
      </w:r>
    </w:p>
    <w:p>
      <w:pPr>
        <w:keepLines/>
        <w:spacing w:after="40"/>
      </w:pPr>
      <w:r>
        <w:rPr>
          <w:rFonts w:ascii="Arial" w:hAnsi="Arial"/>
          <w:b/>
          <w:color w:val="000000"/>
          <w:sz w:val="22"/>
        </w:rPr>
        <w:t>Entidad destinataria:</w:t>
      </w:r>
      <w:r>
        <w:rPr>
          <w:rFonts w:ascii="Arial" w:hAnsi="Arial"/>
          <w:b w:val="0"/>
          <w:color w:val="000000"/>
          <w:sz w:val="22"/>
        </w:rPr>
        <w:t xml:space="preserve"> Universidad del Valle de Guatemala, Deep Learning 2026</w:t>
      </w:r>
    </w:p>
    <w:p>
      <w:pPr>
        <w:keepLines/>
        <w:spacing w:after="40"/>
      </w:pPr>
      <w:r>
        <w:rPr>
          <w:rFonts w:ascii="Arial" w:hAnsi="Arial"/>
          <w:b/>
          <w:color w:val="000000"/>
          <w:sz w:val="22"/>
        </w:rPr>
        <w:t>Objeto:</w:t>
      </w:r>
      <w:r>
        <w:rPr>
          <w:rFonts w:ascii="Arial" w:hAnsi="Arial"/>
          <w:b w:val="0"/>
          <w:color w:val="000000"/>
          <w:sz w:val="22"/>
        </w:rPr>
        <w:t xml:space="preserve"> Generación de conceptos visuales mediante una GAN</w:t>
      </w:r>
    </w:p>
    <w:p>
      <w:pPr>
        <w:keepLines/>
        <w:spacing w:after="40"/>
      </w:pPr>
      <w:r>
        <w:rPr>
          <w:rFonts w:ascii="Arial" w:hAnsi="Arial"/>
          <w:b/>
          <w:color w:val="000000"/>
          <w:sz w:val="22"/>
        </w:rPr>
        <w:t>Tipo de documento:</w:t>
      </w:r>
      <w:r>
        <w:rPr>
          <w:rFonts w:ascii="Arial" w:hAnsi="Arial"/>
          <w:b w:val="0"/>
          <w:color w:val="000000"/>
          <w:sz w:val="22"/>
        </w:rPr>
        <w:t xml:space="preserve"> Informe de resultados en 12 páginas</w:t>
      </w:r>
    </w:p>
    <w:p>
      <w:pPr>
        <w:keepLines/>
        <w:spacing w:after="40"/>
      </w:pPr>
      <w:r>
        <w:rPr>
          <w:rFonts w:ascii="Arial" w:hAnsi="Arial"/>
          <w:b/>
          <w:color w:val="000000"/>
          <w:sz w:val="22"/>
        </w:rPr>
        <w:t>Autores:</w:t>
      </w:r>
      <w:r>
        <w:rPr>
          <w:rFonts w:ascii="Arial" w:hAnsi="Arial"/>
          <w:b w:val="0"/>
          <w:color w:val="000000"/>
          <w:sz w:val="22"/>
        </w:rPr>
        <w:t xml:space="preserve"> Luis Gonzalez - 23353 y Jonathan Zacarias - 231104</w:t>
      </w:r>
    </w:p>
    <w:p>
      <w:pPr>
        <w:keepLines/>
        <w:spacing w:after="40"/>
      </w:pPr>
      <w:r>
        <w:rPr>
          <w:rFonts w:ascii="Arial" w:hAnsi="Arial"/>
          <w:b/>
          <w:color w:val="000000"/>
          <w:sz w:val="22"/>
        </w:rPr>
        <w:t>Docente:</w:t>
      </w:r>
      <w:r>
        <w:rPr>
          <w:rFonts w:ascii="Arial" w:hAnsi="Arial"/>
          <w:b w:val="0"/>
          <w:color w:val="000000"/>
          <w:sz w:val="22"/>
        </w:rPr>
        <w:t xml:space="preserve"> Kevin Recinos</w:t>
      </w:r>
    </w:p>
    <w:p>
      <w:pPr>
        <w:keepLines/>
        <w:spacing w:after="240"/>
      </w:pPr>
      <w:r>
        <w:rPr>
          <w:rFonts w:ascii="Arial" w:hAnsi="Arial"/>
          <w:b/>
          <w:color w:val="000000"/>
          <w:sz w:val="22"/>
        </w:rPr>
        <w:t>Fecha:</w:t>
      </w:r>
      <w:r>
        <w:rPr>
          <w:rFonts w:ascii="Arial" w:hAnsi="Arial"/>
          <w:b w:val="0"/>
          <w:color w:val="000000"/>
          <w:sz w:val="22"/>
        </w:rPr>
        <w:t xml:space="preserve"> 11 de octubre de 2026</w:t>
      </w:r>
    </w:p>
    <w:p>
      <w:pPr>
        <w:keepLines/>
        <w:spacing w:after="160"/>
      </w:pPr>
      <w:r>
        <w:rPr>
          <w:rFonts w:ascii="Arial" w:hAnsi="Arial"/>
          <w:b w:val="0"/>
          <w:color w:val="000000"/>
          <w:sz w:val="22"/>
        </w:rPr>
        <w:t>Nuestro universo reúne habitantes de criptas, cavernas y ruinas: aventureros, criaturas y guardianes. Buscamos pixel art de baja resolución, figuras compactas, contornos oscuros y una paleta reducida. Juzgamos los resultados por la legibilidad de su silueta y su variedad visual. Los nombres y roles de la galería son interpretaciones humanas de los conceptos generados.</w:t>
      </w:r>
    </w:p>
    <w:p>
      <w:pPr>
        <w:keepLines/>
        <w:spacing w:after="160"/>
      </w:pPr>
      <w:r>
        <w:rPr>
          <w:rFonts w:ascii="Arial" w:hAnsi="Arial"/>
          <w:b w:val="0"/>
          <w:color w:val="000000"/>
          <w:sz w:val="22"/>
        </w:rPr>
        <w:t>El archivo suministrado contiene 312 sprites de 16 × 16: 132 de Tiny Dungeon, de Kenney, y 180 de Tiny Creatures, de Clint Bellanger con colaboración de Kenney. Las páginas de origen declaran licencia CC0. La revisión conserva 199 imágenes y registra la decisión de cada archivo en un manifiesto.</w:t>
      </w:r>
    </w:p>
    <w:p>
      <w:pPr>
        <w:keepLines/>
        <w:spacing w:after="160"/>
      </w:pPr>
      <w:r>
        <w:rPr>
          <w:rFonts w:ascii="Arial" w:hAnsi="Arial"/>
          <w:b w:val="0"/>
          <w:color w:val="000000"/>
          <w:sz w:val="22"/>
        </w:rPr>
        <w:t xml:space="preserve">Fuentes: </w:t>
      </w:r>
      <w:hyperlink r:id="rId10">
        <w:r>
          <w:rPr>
            <w:rFonts w:ascii="Arial" w:hAnsi="Arial"/>
            <w:sz w:val="22"/>
            <w:color w:val="000000"/>
          </w:rPr>
          <w:t>kenney.nl/assets/tiny-dungeon</w:t>
        </w:r>
      </w:hyperlink>
      <w:r>
        <w:rPr>
          <w:rFonts w:ascii="Arial" w:hAnsi="Arial"/>
          <w:b w:val="0"/>
          <w:color w:val="000000"/>
          <w:sz w:val="22"/>
        </w:rPr>
        <w:t xml:space="preserve"> y </w:t>
      </w:r>
      <w:hyperlink r:id="rId11">
        <w:r>
          <w:rPr>
            <w:rFonts w:ascii="Arial" w:hAnsi="Arial"/>
            <w:sz w:val="22"/>
            <w:color w:val="000000"/>
          </w:rPr>
          <w:t>opengameart.org/content/tiny-creatures</w:t>
        </w:r>
      </w:hyperlink>
      <w:r>
        <w:rPr>
          <w:rFonts w:ascii="Arial" w:hAnsi="Arial"/>
          <w:b w:val="0"/>
          <w:color w:val="000000"/>
          <w:sz w:val="22"/>
        </w:rPr>
        <w: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1560"/>
        <w:gridCol w:w="1560"/>
        <w:gridCol w:w="1560"/>
        <w:gridCol w:w="1560"/>
        <w:gridCol w:w="1560"/>
        <w:gridCol w:w="1560"/>
      </w:tblGrid>
      <w:tr>
        <w:trPr>
          <w:cantSplit/>
        </w:trPr>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 name="Picture 1"/>
                  <wp:cNvGraphicFramePr>
                    <a:graphicFrameLocks noChangeAspect="1"/>
                  </wp:cNvGraphicFramePr>
                  <a:graphic>
                    <a:graphicData uri="http://schemas.openxmlformats.org/drawingml/2006/picture">
                      <pic:pic>
                        <pic:nvPicPr>
                          <pic:cNvPr id="0" name="dungeon_0085.png"/>
                          <pic:cNvPicPr/>
                        </pic:nvPicPr>
                        <pic:blipFill>
                          <a:blip r:embed="rId12"/>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d0085</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2" name="Picture 2"/>
                  <wp:cNvGraphicFramePr>
                    <a:graphicFrameLocks noChangeAspect="1"/>
                  </wp:cNvGraphicFramePr>
                  <a:graphic>
                    <a:graphicData uri="http://schemas.openxmlformats.org/drawingml/2006/picture">
                      <pic:pic>
                        <pic:nvPicPr>
                          <pic:cNvPr id="0" name="dungeon_0123.png"/>
                          <pic:cNvPicPr/>
                        </pic:nvPicPr>
                        <pic:blipFill>
                          <a:blip r:embed="rId13"/>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d0123</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3" name="Picture 3"/>
                  <wp:cNvGraphicFramePr>
                    <a:graphicFrameLocks noChangeAspect="1"/>
                  </wp:cNvGraphicFramePr>
                  <a:graphic>
                    <a:graphicData uri="http://schemas.openxmlformats.org/drawingml/2006/picture">
                      <pic:pic>
                        <pic:nvPicPr>
                          <pic:cNvPr id="0" name="creatures_0020.png"/>
                          <pic:cNvPicPr/>
                        </pic:nvPicPr>
                        <pic:blipFill>
                          <a:blip r:embed="rId14"/>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c0020</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4" name="Picture 4"/>
                  <wp:cNvGraphicFramePr>
                    <a:graphicFrameLocks noChangeAspect="1"/>
                  </wp:cNvGraphicFramePr>
                  <a:graphic>
                    <a:graphicData uri="http://schemas.openxmlformats.org/drawingml/2006/picture">
                      <pic:pic>
                        <pic:nvPicPr>
                          <pic:cNvPr id="0" name="creatures_0033.png"/>
                          <pic:cNvPicPr/>
                        </pic:nvPicPr>
                        <pic:blipFill>
                          <a:blip r:embed="rId15"/>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c0033</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5" name="Picture 5"/>
                  <wp:cNvGraphicFramePr>
                    <a:graphicFrameLocks noChangeAspect="1"/>
                  </wp:cNvGraphicFramePr>
                  <a:graphic>
                    <a:graphicData uri="http://schemas.openxmlformats.org/drawingml/2006/picture">
                      <pic:pic>
                        <pic:nvPicPr>
                          <pic:cNvPr id="0" name="creatures_0050.png"/>
                          <pic:cNvPicPr/>
                        </pic:nvPicPr>
                        <pic:blipFill>
                          <a:blip r:embed="rId16"/>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c0050</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6" name="Picture 6"/>
                  <wp:cNvGraphicFramePr>
                    <a:graphicFrameLocks noChangeAspect="1"/>
                  </wp:cNvGraphicFramePr>
                  <a:graphic>
                    <a:graphicData uri="http://schemas.openxmlformats.org/drawingml/2006/picture">
                      <pic:pic>
                        <pic:nvPicPr>
                          <pic:cNvPr id="0" name="creatures_0068.png"/>
                          <pic:cNvPicPr/>
                        </pic:nvPicPr>
                        <pic:blipFill>
                          <a:blip r:embed="rId17"/>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c0068</w:t>
            </w:r>
          </w:p>
        </w:tc>
      </w:tr>
      <w:tr>
        <w:trPr>
          <w:cantSplit/>
        </w:trPr>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7" name="Picture 7"/>
                  <wp:cNvGraphicFramePr>
                    <a:graphicFrameLocks noChangeAspect="1"/>
                  </wp:cNvGraphicFramePr>
                  <a:graphic>
                    <a:graphicData uri="http://schemas.openxmlformats.org/drawingml/2006/picture">
                      <pic:pic>
                        <pic:nvPicPr>
                          <pic:cNvPr id="0" name="creatures_0083.png"/>
                          <pic:cNvPicPr/>
                        </pic:nvPicPr>
                        <pic:blipFill>
                          <a:blip r:embed="rId18"/>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c0083</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8" name="Picture 8"/>
                  <wp:cNvGraphicFramePr>
                    <a:graphicFrameLocks noChangeAspect="1"/>
                  </wp:cNvGraphicFramePr>
                  <a:graphic>
                    <a:graphicData uri="http://schemas.openxmlformats.org/drawingml/2006/picture">
                      <pic:pic>
                        <pic:nvPicPr>
                          <pic:cNvPr id="0" name="creatures_0096.png"/>
                          <pic:cNvPicPr/>
                        </pic:nvPicPr>
                        <pic:blipFill>
                          <a:blip r:embed="rId19"/>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c0096</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9" name="Picture 9"/>
                  <wp:cNvGraphicFramePr>
                    <a:graphicFrameLocks noChangeAspect="1"/>
                  </wp:cNvGraphicFramePr>
                  <a:graphic>
                    <a:graphicData uri="http://schemas.openxmlformats.org/drawingml/2006/picture">
                      <pic:pic>
                        <pic:nvPicPr>
                          <pic:cNvPr id="0" name="creatures_0113.png"/>
                          <pic:cNvPicPr/>
                        </pic:nvPicPr>
                        <pic:blipFill>
                          <a:blip r:embed="rId20"/>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c0113</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0" name="Picture 10"/>
                  <wp:cNvGraphicFramePr>
                    <a:graphicFrameLocks noChangeAspect="1"/>
                  </wp:cNvGraphicFramePr>
                  <a:graphic>
                    <a:graphicData uri="http://schemas.openxmlformats.org/drawingml/2006/picture">
                      <pic:pic>
                        <pic:nvPicPr>
                          <pic:cNvPr id="0" name="creatures_0126.png"/>
                          <pic:cNvPicPr/>
                        </pic:nvPicPr>
                        <pic:blipFill>
                          <a:blip r:embed="rId21"/>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c0126</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1" name="Picture 11"/>
                  <wp:cNvGraphicFramePr>
                    <a:graphicFrameLocks noChangeAspect="1"/>
                  </wp:cNvGraphicFramePr>
                  <a:graphic>
                    <a:graphicData uri="http://schemas.openxmlformats.org/drawingml/2006/picture">
                      <pic:pic>
                        <pic:nvPicPr>
                          <pic:cNvPr id="0" name="creatures_0139.png"/>
                          <pic:cNvPicPr/>
                        </pic:nvPicPr>
                        <pic:blipFill>
                          <a:blip r:embed="rId22"/>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c0139</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2" name="Picture 12"/>
                  <wp:cNvGraphicFramePr>
                    <a:graphicFrameLocks noChangeAspect="1"/>
                  </wp:cNvGraphicFramePr>
                  <a:graphic>
                    <a:graphicData uri="http://schemas.openxmlformats.org/drawingml/2006/picture">
                      <pic:pic>
                        <pic:nvPicPr>
                          <pic:cNvPr id="0" name="creatures_0154.png"/>
                          <pic:cNvPicPr/>
                        </pic:nvPicPr>
                        <pic:blipFill>
                          <a:blip r:embed="rId23"/>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c0154</w:t>
            </w:r>
          </w:p>
        </w:tc>
      </w:tr>
    </w:tbl>
    <w:p>
      <w:pPr>
        <w:spacing w:line="120" w:lineRule="exact" w:after="0"/>
      </w:pPr>
      <w:r>
        <w:rPr>
          <w:rFonts w:ascii="Arial" w:hAnsi="Arial"/>
          <w:b w:val="0"/>
          <w:color w:val="000000"/>
          <w:sz w:val="2"/>
        </w:rPr>
      </w:r>
    </w:p>
    <w:p>
      <w:pPr>
        <w:pStyle w:val="Heading1"/>
        <w:pageBreakBefore/>
        <w:spacing w:after="240"/>
        <w:jc w:val="left"/>
      </w:pPr>
      <w:r>
        <w:rPr>
          <w:rFonts w:ascii="Arial" w:hAnsi="Arial"/>
          <w:b/>
          <w:color w:val="000000"/>
          <w:sz w:val="22"/>
        </w:rPr>
        <w:t>Depuración, separación y aumento de datos</w:t>
      </w:r>
    </w:p>
    <w:p>
      <w:pPr>
        <w:keepLines/>
        <w:spacing w:after="160"/>
      </w:pPr>
      <w:r>
        <w:rPr>
          <w:rFonts w:ascii="Arial" w:hAnsi="Arial"/>
          <w:b w:val="0"/>
          <w:color w:val="000000"/>
          <w:sz w:val="22"/>
        </w:rPr>
        <w:t>La revisión visual elimina 112 piezas de escenarios, objetos, armas, equipo e interfaz de Tiny Dungeon, además de una mano aislada de Tiny Creatures. Aceptamos criaturas completas, incluidos monstruos vegetales y animales. La comprobación de contenido y su reflejo no encontró duplicados exactos entre las imágenes aceptadas.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20" w:type="dxa"/>
          <w:left w:w="120" w:type="dxa"/>
          <w:bottom w:w="120" w:type="dxa"/>
          <w:right w:w="120" w:type="dxa"/>
        </w:tblCellMar>
      </w:tblPr>
      <w:tblGrid>
        <w:gridCol w:w="2860"/>
        <w:gridCol w:w="1300"/>
        <w:gridCol w:w="5200"/>
      </w:tblGrid>
      <w:tr>
        <w:trPr>
          <w:cantSplit/>
          <w:tblHeader/>
        </w:trPr>
        <w:tc>
          <w:tcPr>
            <w:tcW w:type="dxa" w:w="2860"/>
            <w:vAlign w:val="center"/>
          </w:tcPr>
          <w:p>
            <w:pPr>
              <w:spacing w:after="0" w:line="260" w:lineRule="exact"/>
              <w:jc w:val="left"/>
            </w:pPr>
            <w:r>
              <w:rPr>
                <w:rFonts w:ascii="Arial" w:hAnsi="Arial"/>
                <w:b/>
                <w:color w:val="000000"/>
                <w:sz w:val="21"/>
              </w:rPr>
              <w:t>Etapa</w:t>
            </w:r>
          </w:p>
        </w:tc>
        <w:tc>
          <w:tcPr>
            <w:tcW w:type="dxa" w:w="1300"/>
            <w:vAlign w:val="center"/>
          </w:tcPr>
          <w:p>
            <w:pPr>
              <w:spacing w:after="0" w:line="260" w:lineRule="exact"/>
              <w:jc w:val="left"/>
            </w:pPr>
            <w:r>
              <w:rPr>
                <w:rFonts w:ascii="Arial" w:hAnsi="Arial"/>
                <w:b/>
                <w:color w:val="000000"/>
                <w:sz w:val="21"/>
              </w:rPr>
              <w:t>Cantidad</w:t>
            </w:r>
          </w:p>
        </w:tc>
        <w:tc>
          <w:tcPr>
            <w:tcW w:type="dxa" w:w="5200"/>
            <w:vAlign w:val="center"/>
          </w:tcPr>
          <w:p>
            <w:pPr>
              <w:spacing w:after="0" w:line="260" w:lineRule="exact"/>
              <w:jc w:val="left"/>
            </w:pPr>
            <w:r>
              <w:rPr>
                <w:rFonts w:ascii="Arial" w:hAnsi="Arial"/>
                <w:b/>
                <w:color w:val="000000"/>
                <w:sz w:val="21"/>
              </w:rPr>
              <w:t>Tratamiento</w:t>
            </w:r>
          </w:p>
        </w:tc>
      </w:tr>
      <w:tr>
        <w:trPr>
          <w:cantSplit/>
        </w:trPr>
        <w:tc>
          <w:tcPr>
            <w:tcW w:type="dxa" w:w="2860"/>
            <w:vAlign w:val="center"/>
          </w:tcPr>
          <w:p>
            <w:pPr>
              <w:spacing w:after="0" w:line="260" w:lineRule="exact"/>
              <w:jc w:val="left"/>
            </w:pPr>
            <w:r>
              <w:rPr>
                <w:rFonts w:ascii="Arial" w:hAnsi="Arial"/>
                <w:b w:val="0"/>
                <w:color w:val="000000"/>
                <w:sz w:val="21"/>
              </w:rPr>
              <w:t>Archivos originales</w:t>
            </w:r>
          </w:p>
        </w:tc>
        <w:tc>
          <w:tcPr>
            <w:tcW w:type="dxa" w:w="1300"/>
            <w:vAlign w:val="center"/>
          </w:tcPr>
          <w:p>
            <w:pPr>
              <w:spacing w:after="0" w:line="260" w:lineRule="exact"/>
              <w:jc w:val="left"/>
            </w:pPr>
            <w:r>
              <w:rPr>
                <w:rFonts w:ascii="Arial" w:hAnsi="Arial"/>
                <w:b w:val="0"/>
                <w:color w:val="000000"/>
                <w:sz w:val="21"/>
              </w:rPr>
              <w:t>312</w:t>
            </w:r>
          </w:p>
        </w:tc>
        <w:tc>
          <w:tcPr>
            <w:tcW w:type="dxa" w:w="5200"/>
            <w:vAlign w:val="center"/>
          </w:tcPr>
          <w:p>
            <w:pPr>
              <w:spacing w:after="0" w:line="260" w:lineRule="exact"/>
              <w:jc w:val="left"/>
            </w:pPr>
            <w:r>
              <w:rPr>
                <w:rFonts w:ascii="Arial" w:hAnsi="Arial"/>
                <w:b w:val="0"/>
                <w:color w:val="000000"/>
                <w:sz w:val="21"/>
              </w:rPr>
              <w:t>PNG legibles de 16 × 16</w:t>
            </w:r>
          </w:p>
        </w:tc>
      </w:tr>
      <w:tr>
        <w:trPr>
          <w:cantSplit/>
        </w:trPr>
        <w:tc>
          <w:tcPr>
            <w:tcW w:type="dxa" w:w="2860"/>
            <w:vAlign w:val="center"/>
          </w:tcPr>
          <w:p>
            <w:pPr>
              <w:spacing w:after="0" w:line="260" w:lineRule="exact"/>
              <w:jc w:val="left"/>
            </w:pPr>
            <w:r>
              <w:rPr>
                <w:rFonts w:ascii="Arial" w:hAnsi="Arial"/>
                <w:b w:val="0"/>
                <w:color w:val="000000"/>
                <w:sz w:val="21"/>
              </w:rPr>
              <w:t>Sprites aceptados</w:t>
            </w:r>
          </w:p>
        </w:tc>
        <w:tc>
          <w:tcPr>
            <w:tcW w:type="dxa" w:w="1300"/>
            <w:vAlign w:val="center"/>
          </w:tcPr>
          <w:p>
            <w:pPr>
              <w:spacing w:after="0" w:line="260" w:lineRule="exact"/>
              <w:jc w:val="left"/>
            </w:pPr>
            <w:r>
              <w:rPr>
                <w:rFonts w:ascii="Arial" w:hAnsi="Arial"/>
                <w:b w:val="0"/>
                <w:color w:val="000000"/>
                <w:sz w:val="21"/>
              </w:rPr>
              <w:t>199</w:t>
            </w:r>
          </w:p>
        </w:tc>
        <w:tc>
          <w:tcPr>
            <w:tcW w:type="dxa" w:w="5200"/>
            <w:vAlign w:val="center"/>
          </w:tcPr>
          <w:p>
            <w:pPr>
              <w:spacing w:after="0" w:line="260" w:lineRule="exact"/>
              <w:jc w:val="left"/>
            </w:pPr>
            <w:r>
              <w:rPr>
                <w:rFonts w:ascii="Arial" w:hAnsi="Arial"/>
                <w:b w:val="0"/>
                <w:color w:val="000000"/>
                <w:sz w:val="21"/>
              </w:rPr>
              <w:t>20 de Dungeon y 179 de Creatures</w:t>
            </w:r>
          </w:p>
        </w:tc>
      </w:tr>
      <w:tr>
        <w:trPr>
          <w:cantSplit/>
        </w:trPr>
        <w:tc>
          <w:tcPr>
            <w:tcW w:type="dxa" w:w="2860"/>
            <w:vAlign w:val="center"/>
          </w:tcPr>
          <w:p>
            <w:pPr>
              <w:spacing w:after="0" w:line="260" w:lineRule="exact"/>
              <w:jc w:val="left"/>
            </w:pPr>
            <w:r>
              <w:rPr>
                <w:rFonts w:ascii="Arial" w:hAnsi="Arial"/>
                <w:b w:val="0"/>
                <w:color w:val="000000"/>
                <w:sz w:val="21"/>
              </w:rPr>
              <w:t>Entrenamiento</w:t>
            </w:r>
          </w:p>
        </w:tc>
        <w:tc>
          <w:tcPr>
            <w:tcW w:type="dxa" w:w="1300"/>
            <w:vAlign w:val="center"/>
          </w:tcPr>
          <w:p>
            <w:pPr>
              <w:spacing w:after="0" w:line="260" w:lineRule="exact"/>
              <w:jc w:val="left"/>
            </w:pPr>
            <w:r>
              <w:rPr>
                <w:rFonts w:ascii="Arial" w:hAnsi="Arial"/>
                <w:b w:val="0"/>
                <w:color w:val="000000"/>
                <w:sz w:val="21"/>
              </w:rPr>
              <w:t>164</w:t>
            </w:r>
          </w:p>
        </w:tc>
        <w:tc>
          <w:tcPr>
            <w:tcW w:type="dxa" w:w="5200"/>
            <w:vAlign w:val="center"/>
          </w:tcPr>
          <w:p>
            <w:pPr>
              <w:spacing w:after="0" w:line="260" w:lineRule="exact"/>
              <w:jc w:val="left"/>
            </w:pPr>
            <w:r>
              <w:rPr>
                <w:rFonts w:ascii="Arial" w:hAnsi="Arial"/>
                <w:b w:val="0"/>
                <w:color w:val="000000"/>
                <w:sz w:val="21"/>
              </w:rPr>
              <w:t>102 grupos de familias</w:t>
            </w:r>
          </w:p>
        </w:tc>
      </w:tr>
      <w:tr>
        <w:trPr>
          <w:cantSplit/>
        </w:trPr>
        <w:tc>
          <w:tcPr>
            <w:tcW w:type="dxa" w:w="2860"/>
            <w:vAlign w:val="center"/>
          </w:tcPr>
          <w:p>
            <w:pPr>
              <w:spacing w:after="0" w:line="260" w:lineRule="exact"/>
              <w:jc w:val="left"/>
            </w:pPr>
            <w:r>
              <w:rPr>
                <w:rFonts w:ascii="Arial" w:hAnsi="Arial"/>
                <w:b w:val="0"/>
                <w:color w:val="000000"/>
                <w:sz w:val="21"/>
              </w:rPr>
              <w:t>Validación</w:t>
            </w:r>
          </w:p>
        </w:tc>
        <w:tc>
          <w:tcPr>
            <w:tcW w:type="dxa" w:w="1300"/>
            <w:vAlign w:val="center"/>
          </w:tcPr>
          <w:p>
            <w:pPr>
              <w:spacing w:after="0" w:line="260" w:lineRule="exact"/>
              <w:jc w:val="left"/>
            </w:pPr>
            <w:r>
              <w:rPr>
                <w:rFonts w:ascii="Arial" w:hAnsi="Arial"/>
                <w:b w:val="0"/>
                <w:color w:val="000000"/>
                <w:sz w:val="21"/>
              </w:rPr>
              <w:t>35</w:t>
            </w:r>
          </w:p>
        </w:tc>
        <w:tc>
          <w:tcPr>
            <w:tcW w:type="dxa" w:w="5200"/>
            <w:vAlign w:val="center"/>
          </w:tcPr>
          <w:p>
            <w:pPr>
              <w:spacing w:after="0" w:line="260" w:lineRule="exact"/>
              <w:jc w:val="left"/>
            </w:pPr>
            <w:r>
              <w:rPr>
                <w:rFonts w:ascii="Arial" w:hAnsi="Arial"/>
                <w:b w:val="0"/>
                <w:color w:val="000000"/>
                <w:sz w:val="21"/>
              </w:rPr>
              <w:t>26 grupos reservados</w:t>
            </w:r>
          </w:p>
        </w:tc>
      </w:tr>
      <w:tr>
        <w:trPr>
          <w:cantSplit/>
        </w:trPr>
        <w:tc>
          <w:tcPr>
            <w:tcW w:type="dxa" w:w="2860"/>
            <w:vAlign w:val="center"/>
          </w:tcPr>
          <w:p>
            <w:pPr>
              <w:spacing w:after="0" w:line="260" w:lineRule="exact"/>
              <w:jc w:val="left"/>
            </w:pPr>
            <w:r>
              <w:rPr>
                <w:rFonts w:ascii="Arial" w:hAnsi="Arial"/>
                <w:b w:val="0"/>
                <w:color w:val="000000"/>
                <w:sz w:val="21"/>
              </w:rPr>
              <w:t>Entrenamiento aumentado</w:t>
            </w:r>
          </w:p>
        </w:tc>
        <w:tc>
          <w:tcPr>
            <w:tcW w:type="dxa" w:w="1300"/>
            <w:vAlign w:val="center"/>
          </w:tcPr>
          <w:p>
            <w:pPr>
              <w:spacing w:after="0" w:line="260" w:lineRule="exact"/>
              <w:jc w:val="left"/>
            </w:pPr>
            <w:r>
              <w:rPr>
                <w:rFonts w:ascii="Arial" w:hAnsi="Arial"/>
                <w:b w:val="0"/>
                <w:color w:val="000000"/>
                <w:sz w:val="21"/>
              </w:rPr>
              <w:t>328</w:t>
            </w:r>
          </w:p>
        </w:tc>
        <w:tc>
          <w:tcPr>
            <w:tcW w:type="dxa" w:w="5200"/>
            <w:vAlign w:val="center"/>
          </w:tcPr>
          <w:p>
            <w:pPr>
              <w:spacing w:after="0" w:line="260" w:lineRule="exact"/>
              <w:jc w:val="left"/>
            </w:pPr>
            <w:r>
              <w:rPr>
                <w:rFonts w:ascii="Arial" w:hAnsi="Arial"/>
                <w:b w:val="0"/>
                <w:color w:val="000000"/>
                <w:sz w:val="21"/>
              </w:rPr>
              <w:t>Original y reflejo horizontal</w:t>
            </w:r>
          </w:p>
        </w:tc>
      </w:tr>
    </w:tbl>
    <w:p>
      <w:pPr>
        <w:spacing w:line="240" w:lineRule="exact" w:after="0"/>
      </w:pPr>
      <w:r>
        <w:rPr>
          <w:rFonts w:ascii="Arial" w:hAnsi="Arial"/>
          <w:b w:val="0"/>
          <w:color w:val="000000"/>
          <w:sz w:val="2"/>
        </w:rPr>
      </w:r>
    </w:p>
    <w:p>
      <w:pPr>
        <w:keepLines/>
        <w:spacing w:after="160"/>
      </w:pPr>
      <w:r>
        <w:rPr>
          <w:rFonts w:ascii="Arial" w:hAnsi="Arial"/>
          <w:b w:val="0"/>
          <w:color w:val="000000"/>
          <w:sz w:val="22"/>
        </w:rPr>
        <w:t>Agrupamos variantes conocidas de color, tamaño y pose, junto con siluetas exactamente iguales incluso reflejadas. La semilla 1729 asigna aproximadamente el 20% de grupos a validación antes del aumento. Ningún grupo aparece en ambas particiones. Esta regla reduce la fuga de variantes conocidas, aunque la clasificación manual puede omitir parentescos visuales.</w:t>
      </w:r>
    </w:p>
    <w:p>
      <w:pPr>
        <w:keepLines/>
        <w:spacing w:after="160"/>
      </w:pPr>
      <w:r>
        <w:rPr>
          <w:rFonts w:ascii="Arial" w:hAnsi="Arial"/>
          <w:b w:val="0"/>
          <w:color w:val="000000"/>
          <w:sz w:val="22"/>
        </w:rPr>
        <w:t>Componemos la transparencia sobre negro, centramos la caja de contenido en 16 × 16 y escalamos con NEAREST a 64 × 64. Normalizamos RGB a [-1, 1]. Eliminamos las permutaciones RGB. La validación conserva sus imágenes originales y nunca participa en los gradientes.</w:t>
      </w:r>
    </w:p>
    <w:p>
      <w:pPr>
        <w:keepLines/>
        <w:spacing w:after="160"/>
      </w:pPr>
      <w:r>
        <w:rPr>
          <w:rFonts w:ascii="Arial" w:hAnsi="Arial"/>
          <w:b w:val="0"/>
          <w:color w:val="000000"/>
          <w:sz w:val="22"/>
        </w:rPr>
        <w:t>Las siguientes imágenes pertenecen exclusivamente a validación: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1560"/>
        <w:gridCol w:w="1560"/>
        <w:gridCol w:w="1560"/>
        <w:gridCol w:w="1560"/>
        <w:gridCol w:w="1560"/>
        <w:gridCol w:w="1560"/>
      </w:tblGrid>
      <w:tr>
        <w:trPr>
          <w:cantSplit/>
        </w:trPr>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3" name="Picture 13"/>
                  <wp:cNvGraphicFramePr>
                    <a:graphicFrameLocks noChangeAspect="1"/>
                  </wp:cNvGraphicFramePr>
                  <a:graphic>
                    <a:graphicData uri="http://schemas.openxmlformats.org/drawingml/2006/picture">
                      <pic:pic>
                        <pic:nvPicPr>
                          <pic:cNvPr id="0" name="dungeon_0084.png"/>
                          <pic:cNvPicPr/>
                        </pic:nvPicPr>
                        <pic:blipFill>
                          <a:blip r:embed="rId24"/>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d0084</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4" name="Picture 14"/>
                  <wp:cNvGraphicFramePr>
                    <a:graphicFrameLocks noChangeAspect="1"/>
                  </wp:cNvGraphicFramePr>
                  <a:graphic>
                    <a:graphicData uri="http://schemas.openxmlformats.org/drawingml/2006/picture">
                      <pic:pic>
                        <pic:nvPicPr>
                          <pic:cNvPr id="0" name="dungeon_0109.png"/>
                          <pic:cNvPicPr/>
                        </pic:nvPicPr>
                        <pic:blipFill>
                          <a:blip r:embed="rId25"/>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d0109</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5" name="Picture 15"/>
                  <wp:cNvGraphicFramePr>
                    <a:graphicFrameLocks noChangeAspect="1"/>
                  </wp:cNvGraphicFramePr>
                  <a:graphic>
                    <a:graphicData uri="http://schemas.openxmlformats.org/drawingml/2006/picture">
                      <pic:pic>
                        <pic:nvPicPr>
                          <pic:cNvPr id="0" name="dungeon_0110.png"/>
                          <pic:cNvPicPr/>
                        </pic:nvPicPr>
                        <pic:blipFill>
                          <a:blip r:embed="rId26"/>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d0110</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6" name="Picture 16"/>
                  <wp:cNvGraphicFramePr>
                    <a:graphicFrameLocks noChangeAspect="1"/>
                  </wp:cNvGraphicFramePr>
                  <a:graphic>
                    <a:graphicData uri="http://schemas.openxmlformats.org/drawingml/2006/picture">
                      <pic:pic>
                        <pic:nvPicPr>
                          <pic:cNvPr id="0" name="dungeon_0111.png"/>
                          <pic:cNvPicPr/>
                        </pic:nvPicPr>
                        <pic:blipFill>
                          <a:blip r:embed="rId27"/>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d0111</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7" name="Picture 17"/>
                  <wp:cNvGraphicFramePr>
                    <a:graphicFrameLocks noChangeAspect="1"/>
                  </wp:cNvGraphicFramePr>
                  <a:graphic>
                    <a:graphicData uri="http://schemas.openxmlformats.org/drawingml/2006/picture">
                      <pic:pic>
                        <pic:nvPicPr>
                          <pic:cNvPr id="0" name="dungeon_0121.png"/>
                          <pic:cNvPicPr/>
                        </pic:nvPicPr>
                        <pic:blipFill>
                          <a:blip r:embed="rId28"/>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d0121</w:t>
            </w:r>
          </w:p>
        </w:tc>
        <w:tc>
          <w:tcPr>
            <w:tcW w:type="dxa" w:w="156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812800" cy="812800"/>
                  <wp:docPr id="18" name="Picture 18"/>
                  <wp:cNvGraphicFramePr>
                    <a:graphicFrameLocks noChangeAspect="1"/>
                  </wp:cNvGraphicFramePr>
                  <a:graphic>
                    <a:graphicData uri="http://schemas.openxmlformats.org/drawingml/2006/picture">
                      <pic:pic>
                        <pic:nvPicPr>
                          <pic:cNvPr id="0" name="creatures_0002.png"/>
                          <pic:cNvPicPr/>
                        </pic:nvPicPr>
                        <pic:blipFill>
                          <a:blip r:embed="rId29"/>
                          <a:stretch>
                            <a:fillRect/>
                          </a:stretch>
                        </pic:blipFill>
                        <pic:spPr>
                          <a:xfrm>
                            <a:off x="0" y="0"/>
                            <a:ext cx="812800" cy="812800"/>
                          </a:xfrm>
                          <a:prstGeom prst="rect"/>
                        </pic:spPr>
                      </pic:pic>
                    </a:graphicData>
                  </a:graphic>
                </wp:inline>
              </w:drawing>
            </w:r>
          </w:p>
          <w:p>
            <w:pPr>
              <w:spacing w:line="260" w:lineRule="exact" w:before="40" w:after="140"/>
              <w:jc w:val="center"/>
            </w:pPr>
            <w:r>
              <w:rPr>
                <w:rFonts w:ascii="Arial" w:hAnsi="Arial"/>
                <w:b w:val="0"/>
                <w:color w:val="000000"/>
                <w:sz w:val="21"/>
              </w:rPr>
              <w:t>c0002</w:t>
            </w:r>
          </w:p>
        </w:tc>
      </w:tr>
    </w:tbl>
    <w:p>
      <w:pPr>
        <w:spacing w:line="120" w:lineRule="exact" w:after="0"/>
      </w:pPr>
      <w:r>
        <w:rPr>
          <w:rFonts w:ascii="Arial" w:hAnsi="Arial"/>
          <w:b w:val="0"/>
          <w:color w:val="000000"/>
          <w:sz w:val="2"/>
        </w:rPr>
      </w:r>
    </w:p>
    <w:p>
      <w:pPr>
        <w:pStyle w:val="Heading1"/>
        <w:pageBreakBefore/>
        <w:spacing w:after="240"/>
        <w:jc w:val="left"/>
      </w:pPr>
      <w:r>
        <w:rPr>
          <w:rFonts w:ascii="Arial" w:hAnsi="Arial"/>
          <w:b/>
          <w:color w:val="000000"/>
          <w:sz w:val="22"/>
        </w:rPr>
        <w:t>Arquitectura y aprendizaje adversarial</w:t>
      </w:r>
    </w:p>
    <w:p>
      <w:pPr>
        <w:keepLines/>
        <w:spacing w:after="160"/>
      </w:pPr>
      <w:r>
        <w:rPr>
          <w:rFonts w:ascii="Arial" w:hAnsi="Arial"/>
          <w:b w:val="0"/>
          <w:color w:val="000000"/>
          <w:sz w:val="22"/>
        </w:rPr>
        <w:t>Elegimos una DCGAN compacta porque los datos tienen estructura espacial y una resolución nativa de solo 16 × 16. Aprender esa rejilla evita dedicar capacidad a los bloques repetidos que introduce el escalado a 64 × 64. La exportación NEAREST forma parte del generador y mantiene bloques de 4 × 4 uniformes.</w:t>
      </w:r>
    </w:p>
    <w:p>
      <w:pPr>
        <w:keepLines/>
        <w:spacing w:after="160"/>
      </w:pPr>
      <w:r>
        <w:rPr>
          <w:rFonts w:ascii="Arial" w:hAnsi="Arial"/>
          <w:b w:val="0"/>
          <w:color w:val="000000"/>
          <w:sz w:val="22"/>
        </w:rPr>
        <w:t>El generador recibe z de 100 números normales. Tres convoluciones transpuestas construyen mapas de 4 × 4 con 256 canales, 8 × 8 con 128 canales y 16 × 16 con 23 canales. Las dos primeras etapas usan BatchNorm y ReLU. La red tiene 981760 parámetros. D promedia bloques de 4 × 4 para reducir a 16 × 16; usa convoluciones 3/64/128/1, LeakyReLU y BatchNorm. Devuelve una puntuación sin Sigmoid final y tiene 136448 parámetros.</w:t>
      </w:r>
    </w:p>
    <w:p>
      <w:pPr>
        <w:keepLines/>
        <w:spacing w:after="160"/>
      </w:pPr>
      <w:r>
        <w:rPr>
          <w:rFonts w:ascii="Arial" w:hAnsi="Arial"/>
          <w:b w:val="0"/>
          <w:color w:val="000000"/>
          <w:sz w:val="22"/>
        </w:rPr>
        <w:t>La salida final asigna a cada píxel uno de los 23 colores presentes en entrenamiento. El pase hacia adelante usa argmax. Para aprender a través de esa selección discreta, usamos un gradiente sustituto de softmax, denominado straight-through. En evaluación la selección es determinista. Esta aproximación introduce sesgo en el gradiente y constituye una limitación del diseño.</w:t>
      </w:r>
    </w:p>
    <w:p>
      <w:pPr>
        <w:keepLines/>
        <w:spacing w:after="160"/>
      </w:pPr>
      <w:r>
        <w:rPr>
          <w:rFonts w:ascii="Arial" w:hAnsi="Arial"/>
          <w:b w:val="0"/>
          <w:color w:val="000000"/>
          <w:sz w:val="22"/>
        </w:rPr>
        <w:t>Por lote, D evalúa imágenes reales y falsas y Adam ajusta sus parámetros. Después evaluamos las falsas con D actualizado y retropropagamos hasta G; Adam actualiza solo G. Los optimizadores referencian las redes ejecutadas. El generador aprende sin etiquetas de nombres ni clases.</w:t>
      </w:r>
    </w:p>
    <w:p>
      <w:pPr>
        <w:keepLines/>
        <w:spacing w:after="160"/>
      </w:pPr>
      <w:r>
        <w:rPr>
          <w:rFonts w:ascii="Arial" w:hAnsi="Arial"/>
          <w:b w:val="0"/>
          <w:color w:val="000000"/>
          <w:sz w:val="22"/>
        </w:rPr>
        <w:t>Usamos Adam, tasa 0.0002 en ambas redes, betas 0.5 y 0.999, lote 32, semilla 42 y 2000 épocas. El orden de lotes y el ruido son independientes e idénticos entre condiciones. Ejecutamos en NVIDIA GeForce RTX 5050, Python 3.14.6 y PyTorch 2.13.0+cu130.</w:t>
      </w:r>
    </w:p>
    <w:p>
      <w:pPr>
        <w:keepLines/>
        <w:spacing w:after="160"/>
      </w:pPr>
      <w:r>
        <w:rPr>
          <w:rFonts w:ascii="Arial" w:hAnsi="Arial"/>
          <w:b w:val="0"/>
          <w:color w:val="000000"/>
          <w:sz w:val="22"/>
        </w:rPr>
        <w:t xml:space="preserve">Referencias: Radford, Metz y Chintala, DCGAN (2015), </w:t>
      </w:r>
      <w:hyperlink r:id="rId30">
        <w:r>
          <w:rPr>
            <w:rFonts w:ascii="Arial" w:hAnsi="Arial"/>
            <w:sz w:val="22"/>
            <w:color w:val="000000"/>
          </w:rPr>
          <w:t>arxiv.org/abs/1511.06434</w:t>
        </w:r>
      </w:hyperlink>
      <w:r>
        <w:rPr>
          <w:rFonts w:ascii="Arial" w:hAnsi="Arial"/>
          <w:b w:val="0"/>
          <w:color w:val="000000"/>
          <w:sz w:val="22"/>
        </w:rPr>
        <w:t xml:space="preserve">. Bengio, Léonard y Courville, estimadores de gradiente (2013), </w:t>
      </w:r>
      <w:hyperlink r:id="rId31">
        <w:r>
          <w:rPr>
            <w:rFonts w:ascii="Arial" w:hAnsi="Arial"/>
            <w:sz w:val="22"/>
            <w:color w:val="000000"/>
          </w:rPr>
          <w:t>arxiv.org/abs/1308.3432</w:t>
        </w:r>
      </w:hyperlink>
      <w:r>
        <w:rPr>
          <w:rFonts w:ascii="Arial" w:hAnsi="Arial"/>
          <w:b w:val="0"/>
          <w:color w:val="000000"/>
          <w:sz w:val="22"/>
        </w:rPr>
        <w:t>.</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5943600" cy="2080259"/>
            <wp:docPr id="19" name="Picture 19"/>
            <wp:cNvGraphicFramePr>
              <a:graphicFrameLocks noChangeAspect="1"/>
            </wp:cNvGraphicFramePr>
            <a:graphic>
              <a:graphicData uri="http://schemas.openxmlformats.org/drawingml/2006/picture">
                <pic:pic>
                  <pic:nvPicPr>
                    <pic:cNvPr id="0" name="flujo.png"/>
                    <pic:cNvPicPr/>
                  </pic:nvPicPr>
                  <pic:blipFill>
                    <a:blip r:embed="rId32"/>
                    <a:stretch>
                      <a:fillRect/>
                    </a:stretch>
                  </pic:blipFill>
                  <pic:spPr>
                    <a:xfrm>
                      <a:off x="0" y="0"/>
                      <a:ext cx="5943600" cy="2080259"/>
                    </a:xfrm>
                    <a:prstGeom prst="rect"/>
                  </pic:spPr>
                </pic:pic>
              </a:graphicData>
            </a:graphic>
          </wp:inline>
        </w:drawing>
      </w:r>
    </w:p>
    <w:p>
      <w:pPr>
        <w:pStyle w:val="Heading1"/>
        <w:pageBreakBefore/>
        <w:spacing w:after="240"/>
        <w:jc w:val="left"/>
      </w:pPr>
      <w:r>
        <w:rPr>
          <w:rFonts w:ascii="Arial" w:hAnsi="Arial"/>
          <w:b/>
          <w:color w:val="000000"/>
          <w:sz w:val="22"/>
        </w:rPr>
        <w:t>Experimento de pérdida</w:t>
      </w:r>
    </w:p>
    <w:p>
      <w:pPr>
        <w:keepLines/>
        <w:spacing w:after="160"/>
      </w:pPr>
      <w:r>
        <w:rPr>
          <w:rFonts w:ascii="Arial" w:hAnsi="Arial"/>
          <w:b/>
          <w:color w:val="000000"/>
          <w:sz w:val="22"/>
        </w:rPr>
        <w:t>Hipótesis previa:</w:t>
      </w:r>
      <w:r>
        <w:rPr>
          <w:rFonts w:ascii="Arial" w:hAnsi="Arial"/>
          <w:b w:val="0"/>
          <w:color w:val="000000"/>
          <w:sz w:val="22"/>
        </w:rPr>
        <w:t xml:space="preserve"> Creemos que Hinge mejorará la estabilidad porque usa un margen en D y una pérdida lineal en G. Lo consideraremos útil si preserva diversidad y produce siluetas más claras con el mismo ruido fijo, sin aumentar similitud excesiva con entrenamiento.</w:t>
      </w:r>
    </w:p>
    <w:p>
      <w:pPr>
        <w:keepLines/>
        <w:spacing w:after="160"/>
      </w:pPr>
      <w:r>
        <w:rPr>
          <w:rFonts w:ascii="Arial" w:hAnsi="Arial"/>
          <w:b w:val="0"/>
          <w:color w:val="000000"/>
          <w:sz w:val="22"/>
        </w:rPr>
        <w:t>BCE no saturante constituye el control. Hinge cambia exclusivamente la pérdida. Conservamos datos, arquitectura con paleta, inicialización, BatchNorm, optimizador, épocas, secuencias de lotes y ruido. Los hashes de los pesos iniciales coinciden. Las hipótesis quedaron guardadas antes de entrenar.</w:t>
      </w:r>
    </w:p>
    <w:p>
      <w:pPr>
        <w:keepLines/>
        <w:spacing w:after="160"/>
      </w:pPr>
      <w:r>
        <w:rPr>
          <w:rFonts w:ascii="Arial" w:hAnsi="Arial"/>
          <w:b w:val="0"/>
          <w:color w:val="000000"/>
          <w:sz w:val="22"/>
        </w:rPr>
        <w:t>Para Hinge, D minimiza el promedio de max(0, 1 - D(real)) más max(0, 1 + D(falso)). G minimiza -promedio(D(falso)). BCE utiliza BCEWithLogitsLoss, con etiquetas reales para la pérdida de G. Las magnitudes de ambas funciones no son directamente comparables.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20" w:type="dxa"/>
          <w:left w:w="120" w:type="dxa"/>
          <w:bottom w:w="120" w:type="dxa"/>
          <w:right w:w="120" w:type="dxa"/>
        </w:tblCellMar>
      </w:tblPr>
      <w:tblGrid>
        <w:gridCol w:w="1800"/>
        <w:gridCol w:w="2520"/>
        <w:gridCol w:w="2520"/>
        <w:gridCol w:w="2520"/>
      </w:tblGrid>
      <w:tr>
        <w:trPr>
          <w:cantSplit/>
          <w:tblHeader/>
        </w:trPr>
        <w:tc>
          <w:tcPr>
            <w:tcW w:type="dxa" w:w="1800"/>
            <w:vAlign w:val="center"/>
          </w:tcPr>
          <w:p>
            <w:pPr>
              <w:spacing w:after="0" w:line="260" w:lineRule="exact"/>
              <w:jc w:val="left"/>
            </w:pPr>
            <w:r>
              <w:rPr>
                <w:rFonts w:ascii="Arial" w:hAnsi="Arial"/>
                <w:b/>
                <w:color w:val="000000"/>
                <w:sz w:val="21"/>
              </w:rPr>
              <w:t>Condición</w:t>
            </w:r>
          </w:p>
        </w:tc>
        <w:tc>
          <w:tcPr>
            <w:tcW w:type="dxa" w:w="2520"/>
            <w:vAlign w:val="center"/>
          </w:tcPr>
          <w:p>
            <w:pPr>
              <w:spacing w:after="0" w:line="260" w:lineRule="exact"/>
              <w:jc w:val="left"/>
            </w:pPr>
            <w:r>
              <w:rPr>
                <w:rFonts w:ascii="Arial" w:hAnsi="Arial"/>
                <w:b/>
                <w:color w:val="000000"/>
                <w:sz w:val="21"/>
              </w:rPr>
              <w:t>Diversidad de 200 muestras</w:t>
            </w:r>
          </w:p>
        </w:tc>
        <w:tc>
          <w:tcPr>
            <w:tcW w:type="dxa" w:w="2520"/>
            <w:vAlign w:val="center"/>
          </w:tcPr>
          <w:p>
            <w:pPr>
              <w:spacing w:after="0" w:line="260" w:lineRule="exact"/>
              <w:jc w:val="left"/>
            </w:pPr>
            <w:r>
              <w:rPr>
                <w:rFonts w:ascii="Arial" w:hAnsi="Arial"/>
                <w:b/>
                <w:color w:val="000000"/>
                <w:sz w:val="21"/>
              </w:rPr>
              <w:t>D media, 100 épocas hasta 1500</w:t>
            </w:r>
          </w:p>
        </w:tc>
        <w:tc>
          <w:tcPr>
            <w:tcW w:type="dxa" w:w="2520"/>
            <w:vAlign w:val="center"/>
          </w:tcPr>
          <w:p>
            <w:pPr>
              <w:spacing w:after="0" w:line="260" w:lineRule="exact"/>
              <w:jc w:val="left"/>
            </w:pPr>
            <w:r>
              <w:rPr>
                <w:rFonts w:ascii="Arial" w:hAnsi="Arial"/>
                <w:b/>
                <w:color w:val="000000"/>
                <w:sz w:val="21"/>
              </w:rPr>
              <w:t>G media, 100 épocas hasta 1500</w:t>
            </w:r>
          </w:p>
        </w:tc>
      </w:tr>
      <w:tr>
        <w:trPr>
          <w:cantSplit/>
        </w:trPr>
        <w:tc>
          <w:tcPr>
            <w:tcW w:type="dxa" w:w="1800"/>
            <w:vAlign w:val="center"/>
          </w:tcPr>
          <w:p>
            <w:pPr>
              <w:spacing w:after="0" w:line="260" w:lineRule="exact"/>
              <w:jc w:val="left"/>
            </w:pPr>
            <w:r>
              <w:rPr>
                <w:rFonts w:ascii="Arial" w:hAnsi="Arial"/>
                <w:b w:val="0"/>
                <w:color w:val="000000"/>
                <w:sz w:val="21"/>
              </w:rPr>
              <w:t>BCE</w:t>
            </w:r>
          </w:p>
        </w:tc>
        <w:tc>
          <w:tcPr>
            <w:tcW w:type="dxa" w:w="2520"/>
            <w:vAlign w:val="center"/>
          </w:tcPr>
          <w:p>
            <w:pPr>
              <w:spacing w:after="0" w:line="260" w:lineRule="exact"/>
              <w:jc w:val="left"/>
            </w:pPr>
            <w:r>
              <w:rPr>
                <w:rFonts w:ascii="Arial" w:hAnsi="Arial"/>
                <w:b w:val="0"/>
                <w:color w:val="000000"/>
                <w:sz w:val="21"/>
              </w:rPr>
              <w:t>0.385</w:t>
            </w:r>
          </w:p>
        </w:tc>
        <w:tc>
          <w:tcPr>
            <w:tcW w:type="dxa" w:w="2520"/>
            <w:vAlign w:val="center"/>
          </w:tcPr>
          <w:p>
            <w:pPr>
              <w:spacing w:after="0" w:line="260" w:lineRule="exact"/>
              <w:jc w:val="left"/>
            </w:pPr>
            <w:r>
              <w:rPr>
                <w:rFonts w:ascii="Arial" w:hAnsi="Arial"/>
                <w:b w:val="0"/>
                <w:color w:val="000000"/>
                <w:sz w:val="21"/>
              </w:rPr>
              <w:t>0.000</w:t>
            </w:r>
          </w:p>
        </w:tc>
        <w:tc>
          <w:tcPr>
            <w:tcW w:type="dxa" w:w="2520"/>
            <w:vAlign w:val="center"/>
          </w:tcPr>
          <w:p>
            <w:pPr>
              <w:spacing w:after="0" w:line="260" w:lineRule="exact"/>
              <w:jc w:val="left"/>
            </w:pPr>
            <w:r>
              <w:rPr>
                <w:rFonts w:ascii="Arial" w:hAnsi="Arial"/>
                <w:b w:val="0"/>
                <w:color w:val="000000"/>
                <w:sz w:val="21"/>
              </w:rPr>
              <w:t>11.444</w:t>
            </w:r>
          </w:p>
        </w:tc>
      </w:tr>
      <w:tr>
        <w:trPr>
          <w:cantSplit/>
        </w:trPr>
        <w:tc>
          <w:tcPr>
            <w:tcW w:type="dxa" w:w="1800"/>
            <w:vAlign w:val="center"/>
          </w:tcPr>
          <w:p>
            <w:pPr>
              <w:spacing w:after="0" w:line="260" w:lineRule="exact"/>
              <w:jc w:val="left"/>
            </w:pPr>
            <w:r>
              <w:rPr>
                <w:rFonts w:ascii="Arial" w:hAnsi="Arial"/>
                <w:b w:val="0"/>
                <w:color w:val="000000"/>
                <w:sz w:val="21"/>
              </w:rPr>
              <w:t>Hinge</w:t>
            </w:r>
          </w:p>
        </w:tc>
        <w:tc>
          <w:tcPr>
            <w:tcW w:type="dxa" w:w="2520"/>
            <w:vAlign w:val="center"/>
          </w:tcPr>
          <w:p>
            <w:pPr>
              <w:spacing w:after="0" w:line="260" w:lineRule="exact"/>
              <w:jc w:val="left"/>
            </w:pPr>
            <w:r>
              <w:rPr>
                <w:rFonts w:ascii="Arial" w:hAnsi="Arial"/>
                <w:b w:val="0"/>
                <w:color w:val="000000"/>
                <w:sz w:val="21"/>
              </w:rPr>
              <w:t>0.306</w:t>
            </w:r>
          </w:p>
        </w:tc>
        <w:tc>
          <w:tcPr>
            <w:tcW w:type="dxa" w:w="2520"/>
            <w:vAlign w:val="center"/>
          </w:tcPr>
          <w:p>
            <w:pPr>
              <w:spacing w:after="0" w:line="260" w:lineRule="exact"/>
              <w:jc w:val="left"/>
            </w:pPr>
            <w:r>
              <w:rPr>
                <w:rFonts w:ascii="Arial" w:hAnsi="Arial"/>
                <w:b w:val="0"/>
                <w:color w:val="000000"/>
                <w:sz w:val="21"/>
              </w:rPr>
              <w:t>0.004</w:t>
            </w:r>
          </w:p>
        </w:tc>
        <w:tc>
          <w:tcPr>
            <w:tcW w:type="dxa" w:w="2520"/>
            <w:vAlign w:val="center"/>
          </w:tcPr>
          <w:p>
            <w:pPr>
              <w:spacing w:after="0" w:line="260" w:lineRule="exact"/>
              <w:jc w:val="left"/>
            </w:pPr>
            <w:r>
              <w:rPr>
                <w:rFonts w:ascii="Arial" w:hAnsi="Arial"/>
                <w:b w:val="0"/>
                <w:color w:val="000000"/>
                <w:sz w:val="21"/>
              </w:rPr>
              <w:t>3.892</w:t>
            </w:r>
          </w:p>
        </w:tc>
      </w:tr>
    </w:tbl>
    <w:p>
      <w:pPr>
        <w:spacing w:line="240" w:lineRule="exact" w:after="0"/>
      </w:pPr>
      <w:r>
        <w:rPr>
          <w:rFonts w:ascii="Arial" w:hAnsi="Arial"/>
          <w:b w:val="0"/>
          <w:color w:val="000000"/>
          <w:sz w:val="2"/>
        </w:rPr>
      </w:r>
    </w:p>
    <w:p>
      <w:pPr>
        <w:keepLines/>
        <w:spacing w:after="160"/>
      </w:pPr>
      <w:r>
        <w:rPr>
          <w:rFonts w:ascii="Arial" w:hAnsi="Arial"/>
          <w:b w:val="0"/>
          <w:color w:val="000000"/>
          <w:sz w:val="22"/>
        </w:rPr>
        <w:t>La figura compara ocho vectores fijos. Hinge repite figuras amarillas/verdes y su diversidad es menor que BCE; no observamos la mejora visual prevista. Ambas pérdidas muestran dominancia de D. Una diversidad mayor también puede ser ruido y no demuestra calidad por sí sola.</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5943600" cy="1783080"/>
            <wp:docPr id="20" name="Picture 20"/>
            <wp:cNvGraphicFramePr>
              <a:graphicFrameLocks noChangeAspect="1"/>
            </wp:cNvGraphicFramePr>
            <a:graphic>
              <a:graphicData uri="http://schemas.openxmlformats.org/drawingml/2006/picture">
                <pic:pic>
                  <pic:nvPicPr>
                    <pic:cNvPr id="0" name="loss_comparison.png"/>
                    <pic:cNvPicPr/>
                  </pic:nvPicPr>
                  <pic:blipFill>
                    <a:blip r:embed="rId33"/>
                    <a:stretch>
                      <a:fillRect/>
                    </a:stretch>
                  </pic:blipFill>
                  <pic:spPr>
                    <a:xfrm>
                      <a:off x="0" y="0"/>
                      <a:ext cx="5943600" cy="1783080"/>
                    </a:xfrm>
                    <a:prstGeom prst="rect"/>
                  </pic:spPr>
                </pic:pic>
              </a:graphicData>
            </a:graphic>
          </wp:inline>
        </w:drawing>
      </w:r>
    </w:p>
    <w:p>
      <w:pPr>
        <w:pStyle w:val="Heading1"/>
        <w:pageBreakBefore/>
        <w:spacing w:after="240"/>
        <w:jc w:val="left"/>
      </w:pPr>
      <w:r>
        <w:rPr>
          <w:rFonts w:ascii="Arial" w:hAnsi="Arial"/>
          <w:b/>
          <w:color w:val="000000"/>
          <w:sz w:val="22"/>
        </w:rPr>
        <w:t>Experimento de estabilización</w:t>
      </w:r>
    </w:p>
    <w:p>
      <w:pPr>
        <w:keepLines/>
        <w:spacing w:after="160"/>
      </w:pPr>
      <w:r>
        <w:rPr>
          <w:rFonts w:ascii="Arial" w:hAnsi="Arial"/>
          <w:b/>
          <w:color w:val="000000"/>
          <w:sz w:val="22"/>
        </w:rPr>
        <w:t>Hipótesis previa:</w:t>
      </w:r>
      <w:r>
        <w:rPr>
          <w:rFonts w:ascii="Arial" w:hAnsi="Arial"/>
          <w:b w:val="0"/>
          <w:color w:val="000000"/>
          <w:sz w:val="22"/>
        </w:rPr>
        <w:t xml:space="preserve"> Creemos que la normalización espectral mejorará porque limita la amplificación de las convoluciones de D. Lo consideraremos útil si mejora las muestras y evita dominancia prolongada de D frente al control Hinge.</w:t>
      </w:r>
    </w:p>
    <w:p>
      <w:pPr>
        <w:keepLines/>
        <w:spacing w:after="160"/>
      </w:pPr>
      <w:r>
        <w:rPr>
          <w:rFonts w:ascii="Arial" w:hAnsi="Arial"/>
          <w:b w:val="0"/>
          <w:color w:val="000000"/>
          <w:sz w:val="22"/>
        </w:rPr>
        <w:t>El control usa Hinge sin normalización espectral. La variante aplica spectral_norm a las tres convoluciones de D. Conservamos BatchNorm, sesgos, arquitectura, pesos iniciales y todas las condiciones restantes. Así aislamos la normalización espectral, a diferencia del experimento histórico que también retiraba BatchNorm.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20" w:type="dxa"/>
          <w:left w:w="120" w:type="dxa"/>
          <w:bottom w:w="120" w:type="dxa"/>
          <w:right w:w="120" w:type="dxa"/>
        </w:tblCellMar>
      </w:tblPr>
      <w:tblGrid>
        <w:gridCol w:w="3000"/>
        <w:gridCol w:w="2120"/>
        <w:gridCol w:w="2120"/>
        <w:gridCol w:w="2120"/>
      </w:tblGrid>
      <w:tr>
        <w:trPr>
          <w:cantSplit/>
          <w:tblHeader/>
        </w:trPr>
        <w:tc>
          <w:tcPr>
            <w:tcW w:type="dxa" w:w="3000"/>
            <w:vAlign w:val="center"/>
          </w:tcPr>
          <w:p>
            <w:pPr>
              <w:spacing w:after="0" w:line="260" w:lineRule="exact"/>
              <w:jc w:val="left"/>
            </w:pPr>
            <w:r>
              <w:rPr>
                <w:rFonts w:ascii="Arial" w:hAnsi="Arial"/>
                <w:b/>
                <w:color w:val="000000"/>
                <w:sz w:val="21"/>
              </w:rPr>
              <w:t>Condición</w:t>
            </w:r>
          </w:p>
        </w:tc>
        <w:tc>
          <w:tcPr>
            <w:tcW w:type="dxa" w:w="2120"/>
            <w:vAlign w:val="center"/>
          </w:tcPr>
          <w:p>
            <w:pPr>
              <w:spacing w:after="0" w:line="260" w:lineRule="exact"/>
              <w:jc w:val="left"/>
            </w:pPr>
            <w:r>
              <w:rPr>
                <w:rFonts w:ascii="Arial" w:hAnsi="Arial"/>
                <w:b/>
                <w:color w:val="000000"/>
                <w:sz w:val="21"/>
              </w:rPr>
              <w:t>Diversidad</w:t>
            </w:r>
          </w:p>
        </w:tc>
        <w:tc>
          <w:tcPr>
            <w:tcW w:type="dxa" w:w="2120"/>
            <w:vAlign w:val="center"/>
          </w:tcPr>
          <w:p>
            <w:pPr>
              <w:spacing w:after="0" w:line="260" w:lineRule="exact"/>
              <w:jc w:val="left"/>
            </w:pPr>
            <w:r>
              <w:rPr>
                <w:rFonts w:ascii="Arial" w:hAnsi="Arial"/>
                <w:b/>
                <w:color w:val="000000"/>
                <w:sz w:val="21"/>
              </w:rPr>
              <w:t>D media a 1500</w:t>
            </w:r>
          </w:p>
        </w:tc>
        <w:tc>
          <w:tcPr>
            <w:tcW w:type="dxa" w:w="2120"/>
            <w:vAlign w:val="center"/>
          </w:tcPr>
          <w:p>
            <w:pPr>
              <w:spacing w:after="0" w:line="260" w:lineRule="exact"/>
              <w:jc w:val="left"/>
            </w:pPr>
            <w:r>
              <w:rPr>
                <w:rFonts w:ascii="Arial" w:hAnsi="Arial"/>
                <w:b/>
                <w:color w:val="000000"/>
                <w:sz w:val="21"/>
              </w:rPr>
              <w:t>G media a 1500</w:t>
            </w:r>
          </w:p>
        </w:tc>
      </w:tr>
      <w:tr>
        <w:trPr>
          <w:cantSplit/>
        </w:trPr>
        <w:tc>
          <w:tcPr>
            <w:tcW w:type="dxa" w:w="3000"/>
            <w:vAlign w:val="center"/>
          </w:tcPr>
          <w:p>
            <w:pPr>
              <w:spacing w:after="0" w:line="260" w:lineRule="exact"/>
              <w:jc w:val="left"/>
            </w:pPr>
            <w:r>
              <w:rPr>
                <w:rFonts w:ascii="Arial" w:hAnsi="Arial"/>
                <w:b w:val="0"/>
                <w:color w:val="000000"/>
                <w:sz w:val="21"/>
              </w:rPr>
              <w:t>Hinge</w:t>
            </w:r>
          </w:p>
        </w:tc>
        <w:tc>
          <w:tcPr>
            <w:tcW w:type="dxa" w:w="2120"/>
            <w:vAlign w:val="center"/>
          </w:tcPr>
          <w:p>
            <w:pPr>
              <w:spacing w:after="0" w:line="260" w:lineRule="exact"/>
              <w:jc w:val="left"/>
            </w:pPr>
            <w:r>
              <w:rPr>
                <w:rFonts w:ascii="Arial" w:hAnsi="Arial"/>
                <w:b w:val="0"/>
                <w:color w:val="000000"/>
                <w:sz w:val="21"/>
              </w:rPr>
              <w:t>0.306</w:t>
            </w:r>
          </w:p>
        </w:tc>
        <w:tc>
          <w:tcPr>
            <w:tcW w:type="dxa" w:w="2120"/>
            <w:vAlign w:val="center"/>
          </w:tcPr>
          <w:p>
            <w:pPr>
              <w:spacing w:after="0" w:line="260" w:lineRule="exact"/>
              <w:jc w:val="left"/>
            </w:pPr>
            <w:r>
              <w:rPr>
                <w:rFonts w:ascii="Arial" w:hAnsi="Arial"/>
                <w:b w:val="0"/>
                <w:color w:val="000000"/>
                <w:sz w:val="21"/>
              </w:rPr>
              <w:t>0.004</w:t>
            </w:r>
          </w:p>
        </w:tc>
        <w:tc>
          <w:tcPr>
            <w:tcW w:type="dxa" w:w="2120"/>
            <w:vAlign w:val="center"/>
          </w:tcPr>
          <w:p>
            <w:pPr>
              <w:spacing w:after="0" w:line="260" w:lineRule="exact"/>
              <w:jc w:val="left"/>
            </w:pPr>
            <w:r>
              <w:rPr>
                <w:rFonts w:ascii="Arial" w:hAnsi="Arial"/>
                <w:b w:val="0"/>
                <w:color w:val="000000"/>
                <w:sz w:val="21"/>
              </w:rPr>
              <w:t>3.892</w:t>
            </w:r>
          </w:p>
        </w:tc>
      </w:tr>
      <w:tr>
        <w:trPr>
          <w:cantSplit/>
        </w:trPr>
        <w:tc>
          <w:tcPr>
            <w:tcW w:type="dxa" w:w="3000"/>
            <w:vAlign w:val="center"/>
          </w:tcPr>
          <w:p>
            <w:pPr>
              <w:spacing w:after="0" w:line="260" w:lineRule="exact"/>
              <w:jc w:val="left"/>
            </w:pPr>
            <w:r>
              <w:rPr>
                <w:rFonts w:ascii="Arial" w:hAnsi="Arial"/>
                <w:b w:val="0"/>
                <w:color w:val="000000"/>
                <w:sz w:val="21"/>
              </w:rPr>
              <w:t>Hinge + SN</w:t>
            </w:r>
          </w:p>
        </w:tc>
        <w:tc>
          <w:tcPr>
            <w:tcW w:type="dxa" w:w="2120"/>
            <w:vAlign w:val="center"/>
          </w:tcPr>
          <w:p>
            <w:pPr>
              <w:spacing w:after="0" w:line="260" w:lineRule="exact"/>
              <w:jc w:val="left"/>
            </w:pPr>
            <w:r>
              <w:rPr>
                <w:rFonts w:ascii="Arial" w:hAnsi="Arial"/>
                <w:b w:val="0"/>
                <w:color w:val="000000"/>
                <w:sz w:val="21"/>
              </w:rPr>
              <w:t>0.363</w:t>
            </w:r>
          </w:p>
        </w:tc>
        <w:tc>
          <w:tcPr>
            <w:tcW w:type="dxa" w:w="2120"/>
            <w:vAlign w:val="center"/>
          </w:tcPr>
          <w:p>
            <w:pPr>
              <w:spacing w:after="0" w:line="260" w:lineRule="exact"/>
              <w:jc w:val="left"/>
            </w:pPr>
            <w:r>
              <w:rPr>
                <w:rFonts w:ascii="Arial" w:hAnsi="Arial"/>
                <w:b w:val="0"/>
                <w:color w:val="000000"/>
                <w:sz w:val="21"/>
              </w:rPr>
              <w:t>0.008</w:t>
            </w:r>
          </w:p>
        </w:tc>
        <w:tc>
          <w:tcPr>
            <w:tcW w:type="dxa" w:w="2120"/>
            <w:vAlign w:val="center"/>
          </w:tcPr>
          <w:p>
            <w:pPr>
              <w:spacing w:after="0" w:line="260" w:lineRule="exact"/>
              <w:jc w:val="left"/>
            </w:pPr>
            <w:r>
              <w:rPr>
                <w:rFonts w:ascii="Arial" w:hAnsi="Arial"/>
                <w:b w:val="0"/>
                <w:color w:val="000000"/>
                <w:sz w:val="21"/>
              </w:rPr>
              <w:t>3.116</w:t>
            </w:r>
          </w:p>
        </w:tc>
      </w:tr>
    </w:tbl>
    <w:p>
      <w:pPr>
        <w:spacing w:line="240" w:lineRule="exact" w:after="0"/>
      </w:pPr>
      <w:r>
        <w:rPr>
          <w:rFonts w:ascii="Arial" w:hAnsi="Arial"/>
          <w:b w:val="0"/>
          <w:color w:val="000000"/>
          <w:sz w:val="2"/>
        </w:rPr>
      </w:r>
    </w:p>
    <w:p>
      <w:pPr>
        <w:keepLines/>
        <w:spacing w:after="160"/>
      </w:pPr>
      <w:r>
        <w:rPr>
          <w:rFonts w:ascii="Arial" w:hAnsi="Arial"/>
          <w:b w:val="0"/>
          <w:color w:val="000000"/>
          <w:sz w:val="22"/>
        </w:rPr>
        <w:t>A época 1500, SN aumenta la diversidad en píxeles de 0.306 a 0.363 frente a Hinge. Sin embargo, varias muestras contienen bloques dispersos y fondos fragmentados. D permanece bajo 0.1 en 1952 de 2000 épocas, frente a 1950 del control. No encontramos evidencia de la mejora de estabilidad prevista; el incremento numérico de diversidad no basta para seleccionar SN.</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5943600" cy="1783080"/>
            <wp:docPr id="21" name="Picture 21"/>
            <wp:cNvGraphicFramePr>
              <a:graphicFrameLocks noChangeAspect="1"/>
            </wp:cNvGraphicFramePr>
            <a:graphic>
              <a:graphicData uri="http://schemas.openxmlformats.org/drawingml/2006/picture">
                <pic:pic>
                  <pic:nvPicPr>
                    <pic:cNvPr id="0" name="stabilization_comparison.png"/>
                    <pic:cNvPicPr/>
                  </pic:nvPicPr>
                  <pic:blipFill>
                    <a:blip r:embed="rId34"/>
                    <a:stretch>
                      <a:fillRect/>
                    </a:stretch>
                  </pic:blipFill>
                  <pic:spPr>
                    <a:xfrm>
                      <a:off x="0" y="0"/>
                      <a:ext cx="5943600" cy="1783080"/>
                    </a:xfrm>
                    <a:prstGeom prst="rect"/>
                  </pic:spPr>
                </pic:pic>
              </a:graphicData>
            </a:graphic>
          </wp:inline>
        </w:drawing>
      </w:r>
    </w:p>
    <w:p>
      <w:pPr>
        <w:keepLines/>
        <w:spacing w:after="160"/>
      </w:pPr>
      <w:r>
        <w:rPr>
          <w:rFonts w:ascii="Arial" w:hAnsi="Arial"/>
          <w:b w:val="0"/>
          <w:color w:val="000000"/>
          <w:sz w:val="22"/>
        </w:rPr>
        <w:t xml:space="preserve">Una pérdida de D cercana a cero durante muchas épocas indica separación fácil respecto al margen. Esa señal exige revisar muestras y diversidad. No prueba por sí sola memorización ni garantiza que G produzca personajes legibles. Referencia: Miyato et al., Spectral Normalization for GANs (2018), </w:t>
      </w:r>
      <w:hyperlink r:id="rId35">
        <w:r>
          <w:rPr>
            <w:rFonts w:ascii="Arial" w:hAnsi="Arial"/>
            <w:sz w:val="22"/>
            <w:color w:val="000000"/>
          </w:rPr>
          <w:t>arxiv.org/abs/1802.05957</w:t>
        </w:r>
      </w:hyperlink>
      <w:r>
        <w:rPr>
          <w:rFonts w:ascii="Arial" w:hAnsi="Arial"/>
          <w:b w:val="0"/>
          <w:color w:val="000000"/>
          <w:sz w:val="22"/>
        </w:rPr>
        <w:t>.</w:t>
      </w:r>
    </w:p>
    <w:p>
      <w:pPr>
        <w:pStyle w:val="Heading1"/>
        <w:pageBreakBefore/>
        <w:spacing w:after="240"/>
        <w:jc w:val="left"/>
      </w:pPr>
      <w:r>
        <w:rPr>
          <w:rFonts w:ascii="Arial" w:hAnsi="Arial"/>
          <w:b/>
          <w:color w:val="000000"/>
          <w:sz w:val="22"/>
        </w:rPr>
        <w:t>Evolución con ruido fijo</w:t>
      </w:r>
    </w:p>
    <w:p>
      <w:pPr>
        <w:keepLines/>
        <w:spacing w:after="160"/>
      </w:pPr>
      <w:r>
        <w:rPr>
          <w:rFonts w:ascii="Arial" w:hAnsi="Arial"/>
          <w:b w:val="0"/>
          <w:color w:val="000000"/>
          <w:sz w:val="22"/>
        </w:rPr>
        <w:t>Seguimos los mismos 16 vectores z de semilla 123 en BCE. Cada evaluación recalibra una copia de G con 20 lotes de 128 vectores, semilla independiente 12345. Así no modifica el entrenamiento ni sus secuencias aleatorias. El checkpoint guarda las estadísticas usadas para generar.</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5943600" cy="6182816"/>
            <wp:docPr id="22" name="Picture 22"/>
            <wp:cNvGraphicFramePr>
              <a:graphicFrameLocks noChangeAspect="1"/>
            </wp:cNvGraphicFramePr>
            <a:graphic>
              <a:graphicData uri="http://schemas.openxmlformats.org/drawingml/2006/picture">
                <pic:pic>
                  <pic:nvPicPr>
                    <pic:cNvPr id="0" name="fixed_evolution_selected.png"/>
                    <pic:cNvPicPr/>
                  </pic:nvPicPr>
                  <pic:blipFill>
                    <a:blip r:embed="rId36"/>
                    <a:stretch>
                      <a:fillRect/>
                    </a:stretch>
                  </pic:blipFill>
                  <pic:spPr>
                    <a:xfrm>
                      <a:off x="0" y="0"/>
                      <a:ext cx="5943600" cy="6182816"/>
                    </a:xfrm>
                    <a:prstGeom prst="rect"/>
                  </pic:spPr>
                </pic:pic>
              </a:graphicData>
            </a:graphic>
          </wp:inline>
        </w:drawing>
      </w:r>
    </w:p>
    <w:p>
      <w:pPr>
        <w:keepLines/>
        <w:spacing w:after="160"/>
      </w:pPr>
      <w:r>
        <w:rPr>
          <w:rFonts w:ascii="Arial" w:hAnsi="Arial"/>
          <w:b w:val="0"/>
          <w:color w:val="000000"/>
          <w:sz w:val="22"/>
        </w:rPr>
        <w:t>Las columnas conservan sus vectores entre épocas. La repetición de siluetas dentro de una misma fila es una señal visual de pérdida de modos, aunque sus colores cambien.</w:t>
      </w:r>
    </w:p>
    <w:p>
      <w:pPr>
        <w:pStyle w:val="Heading1"/>
        <w:pageBreakBefore/>
        <w:spacing w:after="240"/>
        <w:jc w:val="left"/>
      </w:pPr>
      <w:r>
        <w:rPr>
          <w:rFonts w:ascii="Arial" w:hAnsi="Arial"/>
          <w:b/>
          <w:color w:val="000000"/>
          <w:sz w:val="22"/>
        </w:rPr>
        <w:t>Curvas de pérdida y problemas observados</w:t>
      </w:r>
    </w:p>
    <w:p>
      <w:pPr>
        <w:keepLines/>
        <w:spacing w:after="160"/>
      </w:pPr>
      <w:r>
        <w:rPr>
          <w:rFonts w:ascii="Arial" w:hAnsi="Arial"/>
          <w:b w:val="0"/>
          <w:color w:val="000000"/>
          <w:sz w:val="22"/>
        </w:rPr>
        <w:t>Las curvas corresponden a corridas completas de una misma etapa. La línea continua representa D y la discontinua G. Sus escalas dependen de la función de pérdida, por lo que comparamos trayectorias dentro de cada condición y verificamos las imágenes.</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5172363" cy="3555999"/>
            <wp:docPr id="23" name="Picture 23"/>
            <wp:cNvGraphicFramePr>
              <a:graphicFrameLocks noChangeAspect="1"/>
            </wp:cNvGraphicFramePr>
            <a:graphic>
              <a:graphicData uri="http://schemas.openxmlformats.org/drawingml/2006/picture">
                <pic:pic>
                  <pic:nvPicPr>
                    <pic:cNvPr id="0" name="all_losses.png"/>
                    <pic:cNvPicPr/>
                  </pic:nvPicPr>
                  <pic:blipFill>
                    <a:blip r:embed="rId37"/>
                    <a:stretch>
                      <a:fillRect/>
                    </a:stretch>
                  </pic:blipFill>
                  <pic:spPr>
                    <a:xfrm>
                      <a:off x="0" y="0"/>
                      <a:ext cx="5172363" cy="3555999"/>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20" w:type="dxa"/>
          <w:left w:w="120" w:type="dxa"/>
          <w:bottom w:w="120" w:type="dxa"/>
          <w:right w:w="120" w:type="dxa"/>
        </w:tblCellMar>
      </w:tblPr>
      <w:tblGrid>
        <w:gridCol w:w="2240"/>
        <w:gridCol w:w="2880"/>
        <w:gridCol w:w="2120"/>
        <w:gridCol w:w="2120"/>
      </w:tblGrid>
      <w:tr>
        <w:trPr>
          <w:cantSplit/>
          <w:tblHeader/>
        </w:trPr>
        <w:tc>
          <w:tcPr>
            <w:tcW w:type="dxa" w:w="2240"/>
            <w:vAlign w:val="center"/>
          </w:tcPr>
          <w:p>
            <w:pPr>
              <w:spacing w:after="0" w:line="260" w:lineRule="exact"/>
              <w:jc w:val="left"/>
            </w:pPr>
            <w:r>
              <w:rPr>
                <w:rFonts w:ascii="Arial" w:hAnsi="Arial"/>
                <w:b/>
                <w:color w:val="000000"/>
                <w:sz w:val="21"/>
              </w:rPr>
              <w:t>Condición</w:t>
            </w:r>
          </w:p>
        </w:tc>
        <w:tc>
          <w:tcPr>
            <w:tcW w:type="dxa" w:w="2880"/>
            <w:vAlign w:val="center"/>
          </w:tcPr>
          <w:p>
            <w:pPr>
              <w:spacing w:after="0" w:line="260" w:lineRule="exact"/>
              <w:jc w:val="left"/>
            </w:pPr>
            <w:r>
              <w:rPr>
                <w:rFonts w:ascii="Arial" w:hAnsi="Arial"/>
                <w:b/>
                <w:color w:val="000000"/>
                <w:sz w:val="21"/>
              </w:rPr>
              <w:t>Épocas con D menor que 0.1</w:t>
            </w:r>
          </w:p>
        </w:tc>
        <w:tc>
          <w:tcPr>
            <w:tcW w:type="dxa" w:w="2120"/>
            <w:vAlign w:val="center"/>
          </w:tcPr>
          <w:p>
            <w:pPr>
              <w:spacing w:after="0" w:line="260" w:lineRule="exact"/>
              <w:jc w:val="left"/>
            </w:pPr>
            <w:r>
              <w:rPr>
                <w:rFonts w:ascii="Arial" w:hAnsi="Arial"/>
                <w:b/>
                <w:color w:val="000000"/>
                <w:sz w:val="21"/>
              </w:rPr>
              <w:t>D media a 1500</w:t>
            </w:r>
          </w:p>
        </w:tc>
        <w:tc>
          <w:tcPr>
            <w:tcW w:type="dxa" w:w="2120"/>
            <w:vAlign w:val="center"/>
          </w:tcPr>
          <w:p>
            <w:pPr>
              <w:spacing w:after="0" w:line="260" w:lineRule="exact"/>
              <w:jc w:val="left"/>
            </w:pPr>
            <w:r>
              <w:rPr>
                <w:rFonts w:ascii="Arial" w:hAnsi="Arial"/>
                <w:b/>
                <w:color w:val="000000"/>
                <w:sz w:val="21"/>
              </w:rPr>
              <w:t>G media a 1500</w:t>
            </w:r>
          </w:p>
        </w:tc>
      </w:tr>
      <w:tr>
        <w:trPr>
          <w:cantSplit/>
        </w:trPr>
        <w:tc>
          <w:tcPr>
            <w:tcW w:type="dxa" w:w="2240"/>
            <w:vAlign w:val="center"/>
          </w:tcPr>
          <w:p>
            <w:pPr>
              <w:spacing w:after="0" w:line="260" w:lineRule="exact"/>
              <w:jc w:val="left"/>
            </w:pPr>
            <w:r>
              <w:rPr>
                <w:rFonts w:ascii="Arial" w:hAnsi="Arial"/>
                <w:b w:val="0"/>
                <w:color w:val="000000"/>
                <w:sz w:val="21"/>
              </w:rPr>
              <w:t>BCE</w:t>
            </w:r>
          </w:p>
        </w:tc>
        <w:tc>
          <w:tcPr>
            <w:tcW w:type="dxa" w:w="2880"/>
            <w:vAlign w:val="center"/>
          </w:tcPr>
          <w:p>
            <w:pPr>
              <w:spacing w:after="0" w:line="260" w:lineRule="exact"/>
              <w:jc w:val="left"/>
            </w:pPr>
            <w:r>
              <w:rPr>
                <w:rFonts w:ascii="Arial" w:hAnsi="Arial"/>
                <w:b w:val="0"/>
                <w:color w:val="000000"/>
                <w:sz w:val="21"/>
              </w:rPr>
              <w:t>1943 de 2000</w:t>
            </w:r>
          </w:p>
        </w:tc>
        <w:tc>
          <w:tcPr>
            <w:tcW w:type="dxa" w:w="2120"/>
            <w:vAlign w:val="center"/>
          </w:tcPr>
          <w:p>
            <w:pPr>
              <w:spacing w:after="0" w:line="260" w:lineRule="exact"/>
              <w:jc w:val="left"/>
            </w:pPr>
            <w:r>
              <w:rPr>
                <w:rFonts w:ascii="Arial" w:hAnsi="Arial"/>
                <w:b w:val="0"/>
                <w:color w:val="000000"/>
                <w:sz w:val="21"/>
              </w:rPr>
              <w:t>0.000</w:t>
            </w:r>
          </w:p>
        </w:tc>
        <w:tc>
          <w:tcPr>
            <w:tcW w:type="dxa" w:w="2120"/>
            <w:vAlign w:val="center"/>
          </w:tcPr>
          <w:p>
            <w:pPr>
              <w:spacing w:after="0" w:line="260" w:lineRule="exact"/>
              <w:jc w:val="left"/>
            </w:pPr>
            <w:r>
              <w:rPr>
                <w:rFonts w:ascii="Arial" w:hAnsi="Arial"/>
                <w:b w:val="0"/>
                <w:color w:val="000000"/>
                <w:sz w:val="21"/>
              </w:rPr>
              <w:t>11.444</w:t>
            </w:r>
          </w:p>
        </w:tc>
      </w:tr>
      <w:tr>
        <w:trPr>
          <w:cantSplit/>
        </w:trPr>
        <w:tc>
          <w:tcPr>
            <w:tcW w:type="dxa" w:w="2240"/>
            <w:vAlign w:val="center"/>
          </w:tcPr>
          <w:p>
            <w:pPr>
              <w:spacing w:after="0" w:line="260" w:lineRule="exact"/>
              <w:jc w:val="left"/>
            </w:pPr>
            <w:r>
              <w:rPr>
                <w:rFonts w:ascii="Arial" w:hAnsi="Arial"/>
                <w:b w:val="0"/>
                <w:color w:val="000000"/>
                <w:sz w:val="21"/>
              </w:rPr>
              <w:t>Hinge</w:t>
            </w:r>
          </w:p>
        </w:tc>
        <w:tc>
          <w:tcPr>
            <w:tcW w:type="dxa" w:w="2880"/>
            <w:vAlign w:val="center"/>
          </w:tcPr>
          <w:p>
            <w:pPr>
              <w:spacing w:after="0" w:line="260" w:lineRule="exact"/>
              <w:jc w:val="left"/>
            </w:pPr>
            <w:r>
              <w:rPr>
                <w:rFonts w:ascii="Arial" w:hAnsi="Arial"/>
                <w:b w:val="0"/>
                <w:color w:val="000000"/>
                <w:sz w:val="21"/>
              </w:rPr>
              <w:t>1950 de 2000</w:t>
            </w:r>
          </w:p>
        </w:tc>
        <w:tc>
          <w:tcPr>
            <w:tcW w:type="dxa" w:w="2120"/>
            <w:vAlign w:val="center"/>
          </w:tcPr>
          <w:p>
            <w:pPr>
              <w:spacing w:after="0" w:line="260" w:lineRule="exact"/>
              <w:jc w:val="left"/>
            </w:pPr>
            <w:r>
              <w:rPr>
                <w:rFonts w:ascii="Arial" w:hAnsi="Arial"/>
                <w:b w:val="0"/>
                <w:color w:val="000000"/>
                <w:sz w:val="21"/>
              </w:rPr>
              <w:t>0.004</w:t>
            </w:r>
          </w:p>
        </w:tc>
        <w:tc>
          <w:tcPr>
            <w:tcW w:type="dxa" w:w="2120"/>
            <w:vAlign w:val="center"/>
          </w:tcPr>
          <w:p>
            <w:pPr>
              <w:spacing w:after="0" w:line="260" w:lineRule="exact"/>
              <w:jc w:val="left"/>
            </w:pPr>
            <w:r>
              <w:rPr>
                <w:rFonts w:ascii="Arial" w:hAnsi="Arial"/>
                <w:b w:val="0"/>
                <w:color w:val="000000"/>
                <w:sz w:val="21"/>
              </w:rPr>
              <w:t>3.892</w:t>
            </w:r>
          </w:p>
        </w:tc>
      </w:tr>
      <w:tr>
        <w:trPr>
          <w:cantSplit/>
        </w:trPr>
        <w:tc>
          <w:tcPr>
            <w:tcW w:type="dxa" w:w="2240"/>
            <w:vAlign w:val="center"/>
          </w:tcPr>
          <w:p>
            <w:pPr>
              <w:spacing w:after="0" w:line="260" w:lineRule="exact"/>
              <w:jc w:val="left"/>
            </w:pPr>
            <w:r>
              <w:rPr>
                <w:rFonts w:ascii="Arial" w:hAnsi="Arial"/>
                <w:b w:val="0"/>
                <w:color w:val="000000"/>
                <w:sz w:val="21"/>
              </w:rPr>
              <w:t>Hinge + SN</w:t>
            </w:r>
          </w:p>
        </w:tc>
        <w:tc>
          <w:tcPr>
            <w:tcW w:type="dxa" w:w="2880"/>
            <w:vAlign w:val="center"/>
          </w:tcPr>
          <w:p>
            <w:pPr>
              <w:spacing w:after="0" w:line="260" w:lineRule="exact"/>
              <w:jc w:val="left"/>
            </w:pPr>
            <w:r>
              <w:rPr>
                <w:rFonts w:ascii="Arial" w:hAnsi="Arial"/>
                <w:b w:val="0"/>
                <w:color w:val="000000"/>
                <w:sz w:val="21"/>
              </w:rPr>
              <w:t>1952 de 2000</w:t>
            </w:r>
          </w:p>
        </w:tc>
        <w:tc>
          <w:tcPr>
            <w:tcW w:type="dxa" w:w="2120"/>
            <w:vAlign w:val="center"/>
          </w:tcPr>
          <w:p>
            <w:pPr>
              <w:spacing w:after="0" w:line="260" w:lineRule="exact"/>
              <w:jc w:val="left"/>
            </w:pPr>
            <w:r>
              <w:rPr>
                <w:rFonts w:ascii="Arial" w:hAnsi="Arial"/>
                <w:b w:val="0"/>
                <w:color w:val="000000"/>
                <w:sz w:val="21"/>
              </w:rPr>
              <w:t>0.008</w:t>
            </w:r>
          </w:p>
        </w:tc>
        <w:tc>
          <w:tcPr>
            <w:tcW w:type="dxa" w:w="2120"/>
            <w:vAlign w:val="center"/>
          </w:tcPr>
          <w:p>
            <w:pPr>
              <w:spacing w:after="0" w:line="260" w:lineRule="exact"/>
              <w:jc w:val="left"/>
            </w:pPr>
            <w:r>
              <w:rPr>
                <w:rFonts w:ascii="Arial" w:hAnsi="Arial"/>
                <w:b w:val="0"/>
                <w:color w:val="000000"/>
                <w:sz w:val="21"/>
              </w:rPr>
              <w:t>3.116</w:t>
            </w:r>
          </w:p>
        </w:tc>
      </w:tr>
    </w:tbl>
    <w:p>
      <w:pPr>
        <w:spacing w:line="240" w:lineRule="exact" w:after="0"/>
      </w:pPr>
      <w:r>
        <w:rPr>
          <w:rFonts w:ascii="Arial" w:hAnsi="Arial"/>
          <w:b w:val="0"/>
          <w:color w:val="000000"/>
          <w:sz w:val="2"/>
        </w:rPr>
      </w:r>
    </w:p>
    <w:p>
      <w:pPr>
        <w:keepLines/>
        <w:spacing w:after="160"/>
      </w:pPr>
      <w:r>
        <w:rPr>
          <w:rFonts w:ascii="Arial" w:hAnsi="Arial"/>
          <w:b w:val="0"/>
          <w:color w:val="000000"/>
          <w:sz w:val="22"/>
        </w:rPr>
        <w:t>Las corridas RGB iniciales de 300 y 1500 épocas mantuvieron estructuras difusas y pérdidas compatibles con dominancia de D. Extender las épocas no solucionó esa limitación. Registramos entonces una nueva configuración con salida de paleta, compartida por las tres condiciones. Esa exploración cambia la arquitectura y no demuestra, por sí sola, un efecto causal aislado de la paleta.</w:t>
      </w:r>
    </w:p>
    <w:p>
      <w:pPr>
        <w:keepLines/>
        <w:spacing w:after="160"/>
      </w:pPr>
      <w:r>
        <w:rPr>
          <w:rFonts w:ascii="Arial" w:hAnsi="Arial"/>
          <w:b w:val="0"/>
          <w:color w:val="000000"/>
          <w:sz w:val="22"/>
        </w:rPr>
        <w:t>La paleta evita colores intermedios, pero persisten anatomías ambiguas y repetición de arquetipos, compatibles con pérdida parcial de modos. Reducir la tasa de D bajó la diversidad final Hinge a 0.229; reducir sus canales a 16 la bajó a 0.185. Ninguna exploración justificó reemplazar el control. No interpretamos el error bajo de D como éxito.</w:t>
      </w:r>
    </w:p>
    <w:p>
      <w:pPr>
        <w:pStyle w:val="Heading1"/>
        <w:pageBreakBefore/>
        <w:spacing w:after="240"/>
        <w:jc w:val="left"/>
      </w:pPr>
      <w:r>
        <w:rPr>
          <w:rFonts w:ascii="Arial" w:hAnsi="Arial"/>
          <w:b/>
          <w:color w:val="000000"/>
          <w:sz w:val="22"/>
        </w:rPr>
        <w:t>Evaluación y elección del modelo</w:t>
      </w:r>
    </w:p>
    <w:p>
      <w:pPr>
        <w:keepLines/>
        <w:spacing w:after="160"/>
      </w:pPr>
      <w:r>
        <w:rPr>
          <w:rFonts w:ascii="Arial" w:hAnsi="Arial"/>
          <w:b w:val="0"/>
          <w:color w:val="000000"/>
          <w:sz w:val="22"/>
        </w:rPr>
        <w:t>Comparamos 200 candidatos por condición, con semillas 1000 a 1199 y checkpoint de época 1500. Medimos RMS sobre la rejilla nativa y similitud coseno en ResNet-18 preentrenada, con entrada NEAREST de 224 × 224. Los vecinos de entrenamiento incluyen originales y sus reflejos: 328 referencias.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20" w:type="dxa"/>
          <w:left w:w="120" w:type="dxa"/>
          <w:bottom w:w="120" w:type="dxa"/>
          <w:right w:w="120" w:type="dxa"/>
        </w:tblCellMar>
      </w:tblPr>
      <w:tblGrid>
        <w:gridCol w:w="1720"/>
        <w:gridCol w:w="1500"/>
        <w:gridCol w:w="2100"/>
        <w:gridCol w:w="2100"/>
        <w:gridCol w:w="1940"/>
      </w:tblGrid>
      <w:tr>
        <w:trPr>
          <w:cantSplit/>
          <w:tblHeader/>
        </w:trPr>
        <w:tc>
          <w:tcPr>
            <w:tcW w:type="dxa" w:w="1720"/>
            <w:vAlign w:val="center"/>
          </w:tcPr>
          <w:p>
            <w:pPr>
              <w:spacing w:after="0" w:line="260" w:lineRule="exact"/>
              <w:jc w:val="left"/>
            </w:pPr>
            <w:r>
              <w:rPr>
                <w:rFonts w:ascii="Arial" w:hAnsi="Arial"/>
                <w:b/>
                <w:color w:val="000000"/>
                <w:sz w:val="21"/>
              </w:rPr>
              <w:t>Modelo</w:t>
            </w:r>
          </w:p>
        </w:tc>
        <w:tc>
          <w:tcPr>
            <w:tcW w:type="dxa" w:w="1500"/>
            <w:vAlign w:val="center"/>
          </w:tcPr>
          <w:p>
            <w:pPr>
              <w:spacing w:after="0" w:line="260" w:lineRule="exact"/>
              <w:jc w:val="left"/>
            </w:pPr>
            <w:r>
              <w:rPr>
                <w:rFonts w:ascii="Arial" w:hAnsi="Arial"/>
                <w:b/>
                <w:color w:val="000000"/>
                <w:sz w:val="21"/>
              </w:rPr>
              <w:t>Diversidad</w:t>
            </w:r>
          </w:p>
        </w:tc>
        <w:tc>
          <w:tcPr>
            <w:tcW w:type="dxa" w:w="2100"/>
            <w:vAlign w:val="center"/>
          </w:tcPr>
          <w:p>
            <w:pPr>
              <w:spacing w:after="0" w:line="260" w:lineRule="exact"/>
              <w:jc w:val="left"/>
            </w:pPr>
            <w:r>
              <w:rPr>
                <w:rFonts w:ascii="Arial" w:hAnsi="Arial"/>
                <w:b/>
                <w:color w:val="000000"/>
                <w:sz w:val="21"/>
              </w:rPr>
              <w:t>RMS a entrenamiento</w:t>
            </w:r>
          </w:p>
        </w:tc>
        <w:tc>
          <w:tcPr>
            <w:tcW w:type="dxa" w:w="2100"/>
            <w:vAlign w:val="center"/>
          </w:tcPr>
          <w:p>
            <w:pPr>
              <w:spacing w:after="0" w:line="260" w:lineRule="exact"/>
              <w:jc w:val="left"/>
            </w:pPr>
            <w:r>
              <w:rPr>
                <w:rFonts w:ascii="Arial" w:hAnsi="Arial"/>
                <w:b/>
                <w:color w:val="000000"/>
                <w:sz w:val="21"/>
              </w:rPr>
              <w:t>RMS a validación</w:t>
            </w:r>
          </w:p>
        </w:tc>
        <w:tc>
          <w:tcPr>
            <w:tcW w:type="dxa" w:w="1940"/>
            <w:vAlign w:val="center"/>
          </w:tcPr>
          <w:p>
            <w:pPr>
              <w:spacing w:after="0" w:line="260" w:lineRule="exact"/>
              <w:jc w:val="left"/>
            </w:pPr>
            <w:r>
              <w:rPr>
                <w:rFonts w:ascii="Arial" w:hAnsi="Arial"/>
                <w:b/>
                <w:color w:val="000000"/>
                <w:sz w:val="21"/>
              </w:rPr>
              <w:t>Coseno medio</w:t>
            </w:r>
          </w:p>
        </w:tc>
      </w:tr>
      <w:tr>
        <w:trPr>
          <w:cantSplit/>
        </w:trPr>
        <w:tc>
          <w:tcPr>
            <w:tcW w:type="dxa" w:w="1720"/>
            <w:vAlign w:val="center"/>
          </w:tcPr>
          <w:p>
            <w:pPr>
              <w:spacing w:after="0" w:line="260" w:lineRule="exact"/>
              <w:jc w:val="left"/>
            </w:pPr>
            <w:r>
              <w:rPr>
                <w:rFonts w:ascii="Arial" w:hAnsi="Arial"/>
                <w:b w:val="0"/>
                <w:color w:val="000000"/>
                <w:sz w:val="21"/>
              </w:rPr>
              <w:t>BCE</w:t>
            </w:r>
          </w:p>
        </w:tc>
        <w:tc>
          <w:tcPr>
            <w:tcW w:type="dxa" w:w="1500"/>
            <w:vAlign w:val="center"/>
          </w:tcPr>
          <w:p>
            <w:pPr>
              <w:spacing w:after="0" w:line="260" w:lineRule="exact"/>
              <w:jc w:val="left"/>
            </w:pPr>
            <w:r>
              <w:rPr>
                <w:rFonts w:ascii="Arial" w:hAnsi="Arial"/>
                <w:b w:val="0"/>
                <w:color w:val="000000"/>
                <w:sz w:val="21"/>
              </w:rPr>
              <w:t>0.385</w:t>
            </w:r>
          </w:p>
        </w:tc>
        <w:tc>
          <w:tcPr>
            <w:tcW w:type="dxa" w:w="2100"/>
            <w:vAlign w:val="center"/>
          </w:tcPr>
          <w:p>
            <w:pPr>
              <w:spacing w:after="0" w:line="260" w:lineRule="exact"/>
              <w:jc w:val="left"/>
            </w:pPr>
            <w:r>
              <w:rPr>
                <w:rFonts w:ascii="Arial" w:hAnsi="Arial"/>
                <w:b w:val="0"/>
                <w:color w:val="000000"/>
                <w:sz w:val="21"/>
              </w:rPr>
              <w:t>0.291</w:t>
            </w:r>
          </w:p>
        </w:tc>
        <w:tc>
          <w:tcPr>
            <w:tcW w:type="dxa" w:w="2100"/>
            <w:vAlign w:val="center"/>
          </w:tcPr>
          <w:p>
            <w:pPr>
              <w:spacing w:after="0" w:line="260" w:lineRule="exact"/>
              <w:jc w:val="left"/>
            </w:pPr>
            <w:r>
              <w:rPr>
                <w:rFonts w:ascii="Arial" w:hAnsi="Arial"/>
                <w:b w:val="0"/>
                <w:color w:val="000000"/>
                <w:sz w:val="21"/>
              </w:rPr>
              <w:t>0.309</w:t>
            </w:r>
          </w:p>
        </w:tc>
        <w:tc>
          <w:tcPr>
            <w:tcW w:type="dxa" w:w="1940"/>
            <w:vAlign w:val="center"/>
          </w:tcPr>
          <w:p>
            <w:pPr>
              <w:spacing w:after="0" w:line="260" w:lineRule="exact"/>
              <w:jc w:val="left"/>
            </w:pPr>
            <w:r>
              <w:rPr>
                <w:rFonts w:ascii="Arial" w:hAnsi="Arial"/>
                <w:b w:val="0"/>
                <w:color w:val="000000"/>
                <w:sz w:val="21"/>
              </w:rPr>
              <w:t>0.942</w:t>
            </w:r>
          </w:p>
        </w:tc>
      </w:tr>
      <w:tr>
        <w:trPr>
          <w:cantSplit/>
        </w:trPr>
        <w:tc>
          <w:tcPr>
            <w:tcW w:type="dxa" w:w="1720"/>
            <w:vAlign w:val="center"/>
          </w:tcPr>
          <w:p>
            <w:pPr>
              <w:spacing w:after="0" w:line="260" w:lineRule="exact"/>
              <w:jc w:val="left"/>
            </w:pPr>
            <w:r>
              <w:rPr>
                <w:rFonts w:ascii="Arial" w:hAnsi="Arial"/>
                <w:b w:val="0"/>
                <w:color w:val="000000"/>
                <w:sz w:val="21"/>
              </w:rPr>
              <w:t>Hinge</w:t>
            </w:r>
          </w:p>
        </w:tc>
        <w:tc>
          <w:tcPr>
            <w:tcW w:type="dxa" w:w="1500"/>
            <w:vAlign w:val="center"/>
          </w:tcPr>
          <w:p>
            <w:pPr>
              <w:spacing w:after="0" w:line="260" w:lineRule="exact"/>
              <w:jc w:val="left"/>
            </w:pPr>
            <w:r>
              <w:rPr>
                <w:rFonts w:ascii="Arial" w:hAnsi="Arial"/>
                <w:b w:val="0"/>
                <w:color w:val="000000"/>
                <w:sz w:val="21"/>
              </w:rPr>
              <w:t>0.306</w:t>
            </w:r>
          </w:p>
        </w:tc>
        <w:tc>
          <w:tcPr>
            <w:tcW w:type="dxa" w:w="2100"/>
            <w:vAlign w:val="center"/>
          </w:tcPr>
          <w:p>
            <w:pPr>
              <w:spacing w:after="0" w:line="260" w:lineRule="exact"/>
              <w:jc w:val="left"/>
            </w:pPr>
            <w:r>
              <w:rPr>
                <w:rFonts w:ascii="Arial" w:hAnsi="Arial"/>
                <w:b w:val="0"/>
                <w:color w:val="000000"/>
                <w:sz w:val="21"/>
              </w:rPr>
              <w:t>0.314</w:t>
            </w:r>
          </w:p>
        </w:tc>
        <w:tc>
          <w:tcPr>
            <w:tcW w:type="dxa" w:w="2100"/>
            <w:vAlign w:val="center"/>
          </w:tcPr>
          <w:p>
            <w:pPr>
              <w:spacing w:after="0" w:line="260" w:lineRule="exact"/>
              <w:jc w:val="left"/>
            </w:pPr>
            <w:r>
              <w:rPr>
                <w:rFonts w:ascii="Arial" w:hAnsi="Arial"/>
                <w:b w:val="0"/>
                <w:color w:val="000000"/>
                <w:sz w:val="21"/>
              </w:rPr>
              <w:t>0.344</w:t>
            </w:r>
          </w:p>
        </w:tc>
        <w:tc>
          <w:tcPr>
            <w:tcW w:type="dxa" w:w="1940"/>
            <w:vAlign w:val="center"/>
          </w:tcPr>
          <w:p>
            <w:pPr>
              <w:spacing w:after="0" w:line="260" w:lineRule="exact"/>
              <w:jc w:val="left"/>
            </w:pPr>
            <w:r>
              <w:rPr>
                <w:rFonts w:ascii="Arial" w:hAnsi="Arial"/>
                <w:b w:val="0"/>
                <w:color w:val="000000"/>
                <w:sz w:val="21"/>
              </w:rPr>
              <w:t>0.937</w:t>
            </w:r>
          </w:p>
        </w:tc>
      </w:tr>
      <w:tr>
        <w:trPr>
          <w:cantSplit/>
        </w:trPr>
        <w:tc>
          <w:tcPr>
            <w:tcW w:type="dxa" w:w="1720"/>
            <w:vAlign w:val="center"/>
          </w:tcPr>
          <w:p>
            <w:pPr>
              <w:spacing w:after="0" w:line="260" w:lineRule="exact"/>
              <w:jc w:val="left"/>
            </w:pPr>
            <w:r>
              <w:rPr>
                <w:rFonts w:ascii="Arial" w:hAnsi="Arial"/>
                <w:b w:val="0"/>
                <w:color w:val="000000"/>
                <w:sz w:val="21"/>
              </w:rPr>
              <w:t>Hinge + SN</w:t>
            </w:r>
          </w:p>
        </w:tc>
        <w:tc>
          <w:tcPr>
            <w:tcW w:type="dxa" w:w="1500"/>
            <w:vAlign w:val="center"/>
          </w:tcPr>
          <w:p>
            <w:pPr>
              <w:spacing w:after="0" w:line="260" w:lineRule="exact"/>
              <w:jc w:val="left"/>
            </w:pPr>
            <w:r>
              <w:rPr>
                <w:rFonts w:ascii="Arial" w:hAnsi="Arial"/>
                <w:b w:val="0"/>
                <w:color w:val="000000"/>
                <w:sz w:val="21"/>
              </w:rPr>
              <w:t>0.363</w:t>
            </w:r>
          </w:p>
        </w:tc>
        <w:tc>
          <w:tcPr>
            <w:tcW w:type="dxa" w:w="2100"/>
            <w:vAlign w:val="center"/>
          </w:tcPr>
          <w:p>
            <w:pPr>
              <w:spacing w:after="0" w:line="260" w:lineRule="exact"/>
              <w:jc w:val="left"/>
            </w:pPr>
            <w:r>
              <w:rPr>
                <w:rFonts w:ascii="Arial" w:hAnsi="Arial"/>
                <w:b w:val="0"/>
                <w:color w:val="000000"/>
                <w:sz w:val="21"/>
              </w:rPr>
              <w:t>0.328</w:t>
            </w:r>
          </w:p>
        </w:tc>
        <w:tc>
          <w:tcPr>
            <w:tcW w:type="dxa" w:w="2100"/>
            <w:vAlign w:val="center"/>
          </w:tcPr>
          <w:p>
            <w:pPr>
              <w:spacing w:after="0" w:line="260" w:lineRule="exact"/>
              <w:jc w:val="left"/>
            </w:pPr>
            <w:r>
              <w:rPr>
                <w:rFonts w:ascii="Arial" w:hAnsi="Arial"/>
                <w:b w:val="0"/>
                <w:color w:val="000000"/>
                <w:sz w:val="21"/>
              </w:rPr>
              <w:t>0.353</w:t>
            </w:r>
          </w:p>
        </w:tc>
        <w:tc>
          <w:tcPr>
            <w:tcW w:type="dxa" w:w="1940"/>
            <w:vAlign w:val="center"/>
          </w:tcPr>
          <w:p>
            <w:pPr>
              <w:spacing w:after="0" w:line="260" w:lineRule="exact"/>
              <w:jc w:val="left"/>
            </w:pPr>
            <w:r>
              <w:rPr>
                <w:rFonts w:ascii="Arial" w:hAnsi="Arial"/>
                <w:b w:val="0"/>
                <w:color w:val="000000"/>
                <w:sz w:val="21"/>
              </w:rPr>
              <w:t>0.927</w:t>
            </w:r>
          </w:p>
        </w:tc>
      </w:tr>
    </w:tbl>
    <w:p>
      <w:pPr>
        <w:spacing w:line="240" w:lineRule="exact" w:after="0"/>
      </w:pPr>
      <w:r>
        <w:rPr>
          <w:rFonts w:ascii="Arial" w:hAnsi="Arial"/>
          <w:b w:val="0"/>
          <w:color w:val="000000"/>
          <w:sz w:val="2"/>
        </w:rPr>
      </w:r>
    </w:p>
    <w:p>
      <w:pPr>
        <w:keepLines/>
        <w:spacing w:after="160"/>
      </w:pPr>
      <w:r>
        <w:rPr>
          <w:rFonts w:ascii="Arial" w:hAnsi="Arial"/>
          <w:b w:val="0"/>
          <w:color w:val="000000"/>
          <w:sz w:val="22"/>
        </w:rPr>
        <w:t>La diversidad de los originales de entrenamiento es 0.297 y la de validación 0.324. El tamaño y la composición de ambos conjuntos son distintos. Sus distancias a muestras generadas no constituyen una prueba concluyente de generalización.</w:t>
      </w:r>
    </w:p>
    <w:p>
      <w:pPr>
        <w:keepLines/>
        <w:spacing w:after="160"/>
      </w:pPr>
      <w:r>
        <w:rPr>
          <w:rFonts w:ascii="Arial" w:hAnsi="Arial"/>
          <w:b w:val="0"/>
          <w:color w:val="000000"/>
          <w:sz w:val="22"/>
        </w:rPr>
        <w:t>Elegimos BCE, checkpoint 1500, por su mayor variedad relativa de siluetas y combinaciones visuales frente a Hinge y SN en las rejillas revisadas. Las tres redes entrenaron 2000 épocas, pero compararlas a 1500 mantiene el mismo punto de evaluación. Es una selección exploratoria: a 2000 BCE perdió diversidad (0.350 frente a 0.385) y no mejoró su legibilidad. La pérdida baja de D no se usó como criterio de éxito.</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5080000" cy="2286000"/>
            <wp:docPr id="24" name="Picture 24"/>
            <wp:cNvGraphicFramePr>
              <a:graphicFrameLocks noChangeAspect="1"/>
            </wp:cNvGraphicFramePr>
            <a:graphic>
              <a:graphicData uri="http://schemas.openxmlformats.org/drawingml/2006/picture">
                <pic:pic>
                  <pic:nvPicPr>
                    <pic:cNvPr id="0" name="model_comparison.png"/>
                    <pic:cNvPicPr/>
                  </pic:nvPicPr>
                  <pic:blipFill>
                    <a:blip r:embed="rId38"/>
                    <a:stretch>
                      <a:fillRect/>
                    </a:stretch>
                  </pic:blipFill>
                  <pic:spPr>
                    <a:xfrm>
                      <a:off x="0" y="0"/>
                      <a:ext cx="5080000" cy="2286000"/>
                    </a:xfrm>
                    <a:prstGeom prst="rect"/>
                  </pic:spPr>
                </pic:pic>
              </a:graphicData>
            </a:graphic>
          </wp:inline>
        </w:drawing>
      </w:r>
    </w:p>
    <w:p>
      <w:pPr>
        <w:keepLines/>
        <w:spacing w:after="160"/>
      </w:pPr>
      <w:r>
        <w:rPr>
          <w:rFonts w:ascii="Arial" w:hAnsi="Arial"/>
          <w:b w:val="0"/>
          <w:color w:val="000000"/>
          <w:sz w:val="22"/>
        </w:rPr>
        <w:t>RMS favorece fondos y alineación compartidos. ResNet-18 procede de fotografías, por lo que puede agrupar por textura y color. La validación sirve para revisar y elegir el modelo, pero no hay un tercer conjunto de prueba. Una sola semilla por condición impide afirmar significación estadística o ausencia de sobreajuste.</w:t>
      </w:r>
    </w:p>
    <w:p>
      <w:pPr>
        <w:pStyle w:val="Heading1"/>
        <w:pageBreakBefore/>
        <w:spacing w:after="240"/>
        <w:jc w:val="left"/>
      </w:pPr>
      <w:r>
        <w:rPr>
          <w:rFonts w:ascii="Arial" w:hAnsi="Arial"/>
          <w:b/>
          <w:color w:val="000000"/>
          <w:sz w:val="22"/>
        </w:rPr>
        <w:t>Galería final y criterio de selección</w:t>
      </w:r>
    </w:p>
    <w:p>
      <w:pPr>
        <w:keepLines/>
        <w:spacing w:after="160"/>
      </w:pPr>
      <w:r>
        <w:rPr>
          <w:rFonts w:ascii="Arial" w:hAnsi="Arial"/>
          <w:b w:val="0"/>
          <w:color w:val="000000"/>
          <w:sz w:val="22"/>
        </w:rPr>
        <w:t>La galería usa BCE, época 1500. Seleccionamos 10 de 200 candidatos finales: 5%. En el desarrollo se generaron 2400 candidatos para evaluación con distintas redes y checkpoints: 10/2400 = 0.42%. Las semillas se repiten entre condiciones. Además inspeccionamos rejillas de ruido fijo. Revisamos silueta, forma, color, fondo y vecinos.</w:t>
      </w:r>
    </w:p>
    <w:p>
      <w:pPr>
        <w:keepLines/>
        <w:spacing w:after="160"/>
      </w:pPr>
      <w:r>
        <w:rPr>
          <w:rFonts w:ascii="Arial" w:hAnsi="Arial"/>
          <w:b w:val="0"/>
          <w:color w:val="000000"/>
          <w:sz w:val="22"/>
        </w:rPr>
        <w:t>Cada PNG procede directamente del generador, con conversión a 8 bits. Los nombres y roles describen interpretaciones dentro del universo, no clases aprendidas por la red. Guardamos los diez vectores z y sus semillas para regenerar los conceptos.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1872"/>
        <w:gridCol w:w="1872"/>
        <w:gridCol w:w="1872"/>
        <w:gridCol w:w="1872"/>
        <w:gridCol w:w="1872"/>
      </w:tblGrid>
      <w:tr>
        <w:trPr>
          <w:cantSplit/>
        </w:trPr>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25" name="Picture 25"/>
                  <wp:cNvGraphicFramePr>
                    <a:graphicFrameLocks noChangeAspect="1"/>
                  </wp:cNvGraphicFramePr>
                  <a:graphic>
                    <a:graphicData uri="http://schemas.openxmlformats.org/drawingml/2006/picture">
                      <pic:pic>
                        <pic:nvPicPr>
                          <pic:cNvPr id="0" name="personaje_01.png"/>
                          <pic:cNvPicPr/>
                        </pic:nvPicPr>
                        <pic:blipFill>
                          <a:blip r:embed="rId39"/>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Morvath</w:t>
            </w:r>
          </w:p>
          <w:p>
            <w:pPr>
              <w:spacing w:line="260" w:lineRule="exact" w:before="40" w:after="0"/>
              <w:jc w:val="center"/>
            </w:pPr>
            <w:r>
              <w:rPr>
                <w:rFonts w:ascii="Arial" w:hAnsi="Arial"/>
                <w:b w:val="0"/>
                <w:color w:val="000000"/>
                <w:sz w:val="21"/>
              </w:rPr>
              <w:t>Guardián</w:t>
            </w:r>
          </w:p>
          <w:p>
            <w:pPr>
              <w:spacing w:line="260" w:lineRule="exact" w:before="40" w:after="240"/>
              <w:jc w:val="center"/>
            </w:pPr>
            <w:r>
              <w:rPr>
                <w:rFonts w:ascii="Arial" w:hAnsi="Arial"/>
                <w:b w:val="0"/>
                <w:color w:val="000000"/>
                <w:sz w:val="21"/>
              </w:rPr>
              <w:t>Seed 1000</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26" name="Picture 26"/>
                  <wp:cNvGraphicFramePr>
                    <a:graphicFrameLocks noChangeAspect="1"/>
                  </wp:cNvGraphicFramePr>
                  <a:graphic>
                    <a:graphicData uri="http://schemas.openxmlformats.org/drawingml/2006/picture">
                      <pic:pic>
                        <pic:nvPicPr>
                          <pic:cNvPr id="0" name="personaje_02.png"/>
                          <pic:cNvPicPr/>
                        </pic:nvPicPr>
                        <pic:blipFill>
                          <a:blip r:embed="rId40"/>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Ignis</w:t>
            </w:r>
          </w:p>
          <w:p>
            <w:pPr>
              <w:spacing w:line="260" w:lineRule="exact" w:before="40" w:after="0"/>
              <w:jc w:val="center"/>
            </w:pPr>
            <w:r>
              <w:rPr>
                <w:rFonts w:ascii="Arial" w:hAnsi="Arial"/>
                <w:b w:val="0"/>
                <w:color w:val="000000"/>
                <w:sz w:val="21"/>
              </w:rPr>
              <w:t>Gólem ígneo</w:t>
            </w:r>
          </w:p>
          <w:p>
            <w:pPr>
              <w:spacing w:line="260" w:lineRule="exact" w:before="40" w:after="240"/>
              <w:jc w:val="center"/>
            </w:pPr>
            <w:r>
              <w:rPr>
                <w:rFonts w:ascii="Arial" w:hAnsi="Arial"/>
                <w:b w:val="0"/>
                <w:color w:val="000000"/>
                <w:sz w:val="21"/>
              </w:rPr>
              <w:t>Seed 1008</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27" name="Picture 27"/>
                  <wp:cNvGraphicFramePr>
                    <a:graphicFrameLocks noChangeAspect="1"/>
                  </wp:cNvGraphicFramePr>
                  <a:graphic>
                    <a:graphicData uri="http://schemas.openxmlformats.org/drawingml/2006/picture">
                      <pic:pic>
                        <pic:nvPicPr>
                          <pic:cNvPr id="0" name="personaje_03.png"/>
                          <pic:cNvPicPr/>
                        </pic:nvPicPr>
                        <pic:blipFill>
                          <a:blip r:embed="rId41"/>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Mossgolem</w:t>
            </w:r>
          </w:p>
          <w:p>
            <w:pPr>
              <w:spacing w:line="260" w:lineRule="exact" w:before="40" w:after="0"/>
              <w:jc w:val="center"/>
            </w:pPr>
            <w:r>
              <w:rPr>
                <w:rFonts w:ascii="Arial" w:hAnsi="Arial"/>
                <w:b w:val="0"/>
                <w:color w:val="000000"/>
                <w:sz w:val="21"/>
              </w:rPr>
              <w:t>Bestia de musgo</w:t>
            </w:r>
          </w:p>
          <w:p>
            <w:pPr>
              <w:spacing w:line="260" w:lineRule="exact" w:before="40" w:after="240"/>
              <w:jc w:val="center"/>
            </w:pPr>
            <w:r>
              <w:rPr>
                <w:rFonts w:ascii="Arial" w:hAnsi="Arial"/>
                <w:b w:val="0"/>
                <w:color w:val="000000"/>
                <w:sz w:val="21"/>
              </w:rPr>
              <w:t>Seed 1020</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28" name="Picture 28"/>
                  <wp:cNvGraphicFramePr>
                    <a:graphicFrameLocks noChangeAspect="1"/>
                  </wp:cNvGraphicFramePr>
                  <a:graphic>
                    <a:graphicData uri="http://schemas.openxmlformats.org/drawingml/2006/picture">
                      <pic:pic>
                        <pic:nvPicPr>
                          <pic:cNvPr id="0" name="personaje_04.png"/>
                          <pic:cNvPicPr/>
                        </pic:nvPicPr>
                        <pic:blipFill>
                          <a:blip r:embed="rId42"/>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Glacius</w:t>
            </w:r>
          </w:p>
          <w:p>
            <w:pPr>
              <w:spacing w:line="260" w:lineRule="exact" w:before="40" w:after="0"/>
              <w:jc w:val="center"/>
            </w:pPr>
            <w:r>
              <w:rPr>
                <w:rFonts w:ascii="Arial" w:hAnsi="Arial"/>
                <w:b w:val="0"/>
                <w:color w:val="000000"/>
                <w:sz w:val="21"/>
              </w:rPr>
              <w:t>Anfibio</w:t>
            </w:r>
          </w:p>
          <w:p>
            <w:pPr>
              <w:spacing w:line="260" w:lineRule="exact" w:before="40" w:after="240"/>
              <w:jc w:val="center"/>
            </w:pPr>
            <w:r>
              <w:rPr>
                <w:rFonts w:ascii="Arial" w:hAnsi="Arial"/>
                <w:b w:val="0"/>
                <w:color w:val="000000"/>
                <w:sz w:val="21"/>
              </w:rPr>
              <w:t>Seed 1026</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29" name="Picture 29"/>
                  <wp:cNvGraphicFramePr>
                    <a:graphicFrameLocks noChangeAspect="1"/>
                  </wp:cNvGraphicFramePr>
                  <a:graphic>
                    <a:graphicData uri="http://schemas.openxmlformats.org/drawingml/2006/picture">
                      <pic:pic>
                        <pic:nvPicPr>
                          <pic:cNvPr id="0" name="personaje_05.png"/>
                          <pic:cNvPicPr/>
                        </pic:nvPicPr>
                        <pic:blipFill>
                          <a:blip r:embed="rId43"/>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Kaelen</w:t>
            </w:r>
          </w:p>
          <w:p>
            <w:pPr>
              <w:spacing w:line="260" w:lineRule="exact" w:before="40" w:after="0"/>
              <w:jc w:val="center"/>
            </w:pPr>
            <w:r>
              <w:rPr>
                <w:rFonts w:ascii="Arial" w:hAnsi="Arial"/>
                <w:b w:val="0"/>
                <w:color w:val="000000"/>
                <w:sz w:val="21"/>
              </w:rPr>
              <w:t>Hechicero</w:t>
            </w:r>
          </w:p>
          <w:p>
            <w:pPr>
              <w:spacing w:line="260" w:lineRule="exact" w:before="40" w:after="240"/>
              <w:jc w:val="center"/>
            </w:pPr>
            <w:r>
              <w:rPr>
                <w:rFonts w:ascii="Arial" w:hAnsi="Arial"/>
                <w:b w:val="0"/>
                <w:color w:val="000000"/>
                <w:sz w:val="21"/>
              </w:rPr>
              <w:t>Seed 1035</w:t>
            </w:r>
          </w:p>
        </w:tc>
      </w:tr>
      <w:tr>
        <w:trPr>
          <w:cantSplit/>
        </w:trPr>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30" name="Picture 30"/>
                  <wp:cNvGraphicFramePr>
                    <a:graphicFrameLocks noChangeAspect="1"/>
                  </wp:cNvGraphicFramePr>
                  <a:graphic>
                    <a:graphicData uri="http://schemas.openxmlformats.org/drawingml/2006/picture">
                      <pic:pic>
                        <pic:nvPicPr>
                          <pic:cNvPr id="0" name="personaje_06.png"/>
                          <pic:cNvPicPr/>
                        </pic:nvPicPr>
                        <pic:blipFill>
                          <a:blip r:embed="rId44"/>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Zul Karr</w:t>
            </w:r>
          </w:p>
          <w:p>
            <w:pPr>
              <w:spacing w:line="260" w:lineRule="exact" w:before="40" w:after="0"/>
              <w:jc w:val="center"/>
            </w:pPr>
            <w:r>
              <w:rPr>
                <w:rFonts w:ascii="Arial" w:hAnsi="Arial"/>
                <w:b w:val="0"/>
                <w:color w:val="000000"/>
                <w:sz w:val="21"/>
              </w:rPr>
              <w:t>Vigía</w:t>
            </w:r>
          </w:p>
          <w:p>
            <w:pPr>
              <w:spacing w:line="260" w:lineRule="exact" w:before="40" w:after="240"/>
              <w:jc w:val="center"/>
            </w:pPr>
            <w:r>
              <w:rPr>
                <w:rFonts w:ascii="Arial" w:hAnsi="Arial"/>
                <w:b w:val="0"/>
                <w:color w:val="000000"/>
                <w:sz w:val="21"/>
              </w:rPr>
              <w:t>Seed 1070</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31" name="Picture 31"/>
                  <wp:cNvGraphicFramePr>
                    <a:graphicFrameLocks noChangeAspect="1"/>
                  </wp:cNvGraphicFramePr>
                  <a:graphic>
                    <a:graphicData uri="http://schemas.openxmlformats.org/drawingml/2006/picture">
                      <pic:pic>
                        <pic:nvPicPr>
                          <pic:cNvPr id="0" name="personaje_07.png"/>
                          <pic:cNvPicPr/>
                        </pic:nvPicPr>
                        <pic:blipFill>
                          <a:blip r:embed="rId45"/>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Fungor</w:t>
            </w:r>
          </w:p>
          <w:p>
            <w:pPr>
              <w:spacing w:line="260" w:lineRule="exact" w:before="40" w:after="0"/>
              <w:jc w:val="center"/>
            </w:pPr>
            <w:r>
              <w:rPr>
                <w:rFonts w:ascii="Arial" w:hAnsi="Arial"/>
                <w:b w:val="0"/>
                <w:color w:val="000000"/>
                <w:sz w:val="21"/>
              </w:rPr>
              <w:t>Errante</w:t>
            </w:r>
          </w:p>
          <w:p>
            <w:pPr>
              <w:spacing w:line="260" w:lineRule="exact" w:before="40" w:after="240"/>
              <w:jc w:val="center"/>
            </w:pPr>
            <w:r>
              <w:rPr>
                <w:rFonts w:ascii="Arial" w:hAnsi="Arial"/>
                <w:b w:val="0"/>
                <w:color w:val="000000"/>
                <w:sz w:val="21"/>
              </w:rPr>
              <w:t>Seed 1072</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32" name="Picture 32"/>
                  <wp:cNvGraphicFramePr>
                    <a:graphicFrameLocks noChangeAspect="1"/>
                  </wp:cNvGraphicFramePr>
                  <a:graphic>
                    <a:graphicData uri="http://schemas.openxmlformats.org/drawingml/2006/picture">
                      <pic:pic>
                        <pic:nvPicPr>
                          <pic:cNvPr id="0" name="personaje_08.png"/>
                          <pic:cNvPicPr/>
                        </pic:nvPicPr>
                        <pic:blipFill>
                          <a:blip r:embed="rId46"/>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Brasa</w:t>
            </w:r>
          </w:p>
          <w:p>
            <w:pPr>
              <w:spacing w:line="260" w:lineRule="exact" w:before="40" w:after="0"/>
              <w:jc w:val="center"/>
            </w:pPr>
            <w:r>
              <w:rPr>
                <w:rFonts w:ascii="Arial" w:hAnsi="Arial"/>
                <w:b w:val="0"/>
                <w:color w:val="000000"/>
                <w:sz w:val="21"/>
              </w:rPr>
              <w:t>Elemental</w:t>
            </w:r>
          </w:p>
          <w:p>
            <w:pPr>
              <w:spacing w:line="260" w:lineRule="exact" w:before="40" w:after="240"/>
              <w:jc w:val="center"/>
            </w:pPr>
            <w:r>
              <w:rPr>
                <w:rFonts w:ascii="Arial" w:hAnsi="Arial"/>
                <w:b w:val="0"/>
                <w:color w:val="000000"/>
                <w:sz w:val="21"/>
              </w:rPr>
              <w:t>Seed 1017</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33" name="Picture 33"/>
                  <wp:cNvGraphicFramePr>
                    <a:graphicFrameLocks noChangeAspect="1"/>
                  </wp:cNvGraphicFramePr>
                  <a:graphic>
                    <a:graphicData uri="http://schemas.openxmlformats.org/drawingml/2006/picture">
                      <pic:pic>
                        <pic:nvPicPr>
                          <pic:cNvPr id="0" name="personaje_09.png"/>
                          <pic:cNvPicPr/>
                        </pic:nvPicPr>
                        <pic:blipFill>
                          <a:blip r:embed="rId47"/>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Aveline</w:t>
            </w:r>
          </w:p>
          <w:p>
            <w:pPr>
              <w:spacing w:line="260" w:lineRule="exact" w:before="40" w:after="0"/>
              <w:jc w:val="center"/>
            </w:pPr>
            <w:r>
              <w:rPr>
                <w:rFonts w:ascii="Arial" w:hAnsi="Arial"/>
                <w:b w:val="0"/>
                <w:color w:val="000000"/>
                <w:sz w:val="21"/>
              </w:rPr>
              <w:t>Espíritu</w:t>
            </w:r>
          </w:p>
          <w:p>
            <w:pPr>
              <w:spacing w:line="260" w:lineRule="exact" w:before="40" w:after="240"/>
              <w:jc w:val="center"/>
            </w:pPr>
            <w:r>
              <w:rPr>
                <w:rFonts w:ascii="Arial" w:hAnsi="Arial"/>
                <w:b w:val="0"/>
                <w:color w:val="000000"/>
                <w:sz w:val="21"/>
              </w:rPr>
              <w:t>Seed 1114</w:t>
            </w:r>
          </w:p>
        </w:tc>
        <w:tc>
          <w:tcPr>
            <w:tcW w:type="dxa" w:w="1872"/>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90600" cy="990600"/>
                  <wp:docPr id="34" name="Picture 34"/>
                  <wp:cNvGraphicFramePr>
                    <a:graphicFrameLocks noChangeAspect="1"/>
                  </wp:cNvGraphicFramePr>
                  <a:graphic>
                    <a:graphicData uri="http://schemas.openxmlformats.org/drawingml/2006/picture">
                      <pic:pic>
                        <pic:nvPicPr>
                          <pic:cNvPr id="0" name="personaje_10.png"/>
                          <pic:cNvPicPr/>
                        </pic:nvPicPr>
                        <pic:blipFill>
                          <a:blip r:embed="rId48"/>
                          <a:stretch>
                            <a:fillRect/>
                          </a:stretch>
                        </pic:blipFill>
                        <pic:spPr>
                          <a:xfrm>
                            <a:off x="0" y="0"/>
                            <a:ext cx="990600" cy="990600"/>
                          </a:xfrm>
                          <a:prstGeom prst="rect"/>
                        </pic:spPr>
                      </pic:pic>
                    </a:graphicData>
                  </a:graphic>
                </wp:inline>
              </w:drawing>
            </w:r>
          </w:p>
          <w:p>
            <w:pPr>
              <w:spacing w:line="260" w:lineRule="exact" w:before="80" w:after="0"/>
              <w:jc w:val="center"/>
            </w:pPr>
            <w:r>
              <w:rPr>
                <w:rFonts w:ascii="Arial" w:hAnsi="Arial"/>
                <w:b/>
                <w:color w:val="000000"/>
                <w:sz w:val="22"/>
              </w:rPr>
              <w:t>Ursok</w:t>
            </w:r>
          </w:p>
          <w:p>
            <w:pPr>
              <w:spacing w:line="260" w:lineRule="exact" w:before="40" w:after="0"/>
              <w:jc w:val="center"/>
            </w:pPr>
            <w:r>
              <w:rPr>
                <w:rFonts w:ascii="Arial" w:hAnsi="Arial"/>
                <w:b w:val="0"/>
                <w:color w:val="000000"/>
                <w:sz w:val="21"/>
              </w:rPr>
              <w:t>Bestia de cripta</w:t>
            </w:r>
          </w:p>
          <w:p>
            <w:pPr>
              <w:spacing w:line="260" w:lineRule="exact" w:before="40" w:after="240"/>
              <w:jc w:val="center"/>
            </w:pPr>
            <w:r>
              <w:rPr>
                <w:rFonts w:ascii="Arial" w:hAnsi="Arial"/>
                <w:b w:val="0"/>
                <w:color w:val="000000"/>
                <w:sz w:val="21"/>
              </w:rPr>
              <w:t>Seed 1171</w:t>
            </w:r>
          </w:p>
        </w:tc>
      </w:tr>
    </w:tbl>
    <w:p>
      <w:pPr>
        <w:spacing w:line="160" w:lineRule="exact" w:after="0"/>
      </w:pPr>
      <w:r>
        <w:rPr>
          <w:rFonts w:ascii="Arial" w:hAnsi="Arial"/>
          <w:b w:val="0"/>
          <w:color w:val="000000"/>
          <w:sz w:val="2"/>
        </w:rPr>
      </w:r>
    </w:p>
    <w:p>
      <w:pPr>
        <w:keepLines/>
        <w:spacing w:after="160"/>
      </w:pPr>
      <w:r>
        <w:rPr>
          <w:rFonts w:ascii="Arial" w:hAnsi="Arial"/>
          <w:b w:val="0"/>
          <w:color w:val="000000"/>
          <w:sz w:val="22"/>
        </w:rPr>
        <w:t>La curación conserva figuras compactas, otras alargadas y algunas con apéndices laterales. Sus colores y proporciones varían, pero varias pertenecen a arquetipos verdes parecidos y la anatomía sigue siendo ambigua. La menor RMS entre los diez es 0.204; esa separación de píxeles no garantiza diez identidades semánticas distintas. Los resultados son conceptos experimentales, no sprites terminados.</w:t>
      </w:r>
    </w:p>
    <w:p>
      <w:pPr>
        <w:keepLines/>
        <w:spacing w:after="160"/>
      </w:pPr>
      <w:r>
        <w:rPr>
          <w:rFonts w:ascii="Arial" w:hAnsi="Arial"/>
          <w:b w:val="0"/>
          <w:color w:val="000000"/>
          <w:sz w:val="22"/>
        </w:rPr>
        <w:t>La comprobación reprodujo los diez personajes con error máximo 0.00000001, menor que 2/255. Los vectores coinciden con sus semillas. Fijamos CPU y lote 1 para exportar: una primera prueba desde GPU cambió un píxel por argmax cerca de un empate. Conservamos el registro de ese fallo y la verificación corregida.</w:t>
      </w:r>
    </w:p>
    <w:p>
      <w:pPr>
        <w:pStyle w:val="Heading1"/>
        <w:pageBreakBefore/>
        <w:spacing w:after="240"/>
        <w:jc w:val="left"/>
      </w:pPr>
      <w:r>
        <w:rPr>
          <w:rFonts w:ascii="Arial" w:hAnsi="Arial"/>
          <w:b/>
          <w:color w:val="000000"/>
          <w:sz w:val="22"/>
        </w:rPr>
        <w:t>Vecinos más cercanos de los diez personajes</w:t>
      </w:r>
    </w:p>
    <w:p>
      <w:pPr>
        <w:keepLines/>
        <w:spacing w:after="160"/>
      </w:pPr>
      <w:r>
        <w:rPr>
          <w:rFonts w:ascii="Arial" w:hAnsi="Arial"/>
          <w:b w:val="0"/>
          <w:color w:val="000000"/>
          <w:sz w:val="22"/>
        </w:rPr>
        <w:t>Para cada personaje mostramos su vecino de entrenamiento con menor RMS, considerando originales y reflejos. Esta comparación permite inspeccionar copia y semejanza estructural. Una distancia distinta de cero no demuestra originalidad semántica.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left w:w="0" w:type="dxa"/>
          <w:bottom w:w="0" w:type="dxa"/>
          <w:right w:w="0" w:type="dxa"/>
        </w:tblCellMar>
      </w:tblPr>
      <w:tblGrid>
        <w:gridCol w:w="2340"/>
        <w:gridCol w:w="2340"/>
        <w:gridCol w:w="2340"/>
        <w:gridCol w:w="2340"/>
      </w:tblGrid>
      <w:tr>
        <w:trPr>
          <w:cantSplit/>
        </w:trPr>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35" name="Picture 35"/>
                  <wp:cNvGraphicFramePr>
                    <a:graphicFrameLocks noChangeAspect="1"/>
                  </wp:cNvGraphicFramePr>
                  <a:graphic>
                    <a:graphicData uri="http://schemas.openxmlformats.org/drawingml/2006/picture">
                      <pic:pic>
                        <pic:nvPicPr>
                          <pic:cNvPr id="0" name="personaje_01.png"/>
                          <pic:cNvPicPr/>
                        </pic:nvPicPr>
                        <pic:blipFill>
                          <a:blip r:embed="rId39"/>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01</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36" name="Picture 36"/>
                  <wp:cNvGraphicFramePr>
                    <a:graphicFrameLocks noChangeAspect="1"/>
                  </wp:cNvGraphicFramePr>
                  <a:graphic>
                    <a:graphicData uri="http://schemas.openxmlformats.org/drawingml/2006/picture">
                      <pic:pic>
                        <pic:nvPicPr>
                          <pic:cNvPr id="0" name="neighbor_01.png"/>
                          <pic:cNvPicPr/>
                        </pic:nvPicPr>
                        <pic:blipFill>
                          <a:blip r:embed="rId49"/>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0.373</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37" name="Picture 37"/>
                  <wp:cNvGraphicFramePr>
                    <a:graphicFrameLocks noChangeAspect="1"/>
                  </wp:cNvGraphicFramePr>
                  <a:graphic>
                    <a:graphicData uri="http://schemas.openxmlformats.org/drawingml/2006/picture">
                      <pic:pic>
                        <pic:nvPicPr>
                          <pic:cNvPr id="0" name="personaje_02.png"/>
                          <pic:cNvPicPr/>
                        </pic:nvPicPr>
                        <pic:blipFill>
                          <a:blip r:embed="rId40"/>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02</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38" name="Picture 38"/>
                  <wp:cNvGraphicFramePr>
                    <a:graphicFrameLocks noChangeAspect="1"/>
                  </wp:cNvGraphicFramePr>
                  <a:graphic>
                    <a:graphicData uri="http://schemas.openxmlformats.org/drawingml/2006/picture">
                      <pic:pic>
                        <pic:nvPicPr>
                          <pic:cNvPr id="0" name="neighbor_02.png"/>
                          <pic:cNvPicPr/>
                        </pic:nvPicPr>
                        <pic:blipFill>
                          <a:blip r:embed="rId50"/>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0.273</w:t>
            </w:r>
          </w:p>
        </w:tc>
      </w:tr>
      <w:tr>
        <w:trPr>
          <w:cantSplit/>
        </w:trPr>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39" name="Picture 39"/>
                  <wp:cNvGraphicFramePr>
                    <a:graphicFrameLocks noChangeAspect="1"/>
                  </wp:cNvGraphicFramePr>
                  <a:graphic>
                    <a:graphicData uri="http://schemas.openxmlformats.org/drawingml/2006/picture">
                      <pic:pic>
                        <pic:nvPicPr>
                          <pic:cNvPr id="0" name="personaje_03.png"/>
                          <pic:cNvPicPr/>
                        </pic:nvPicPr>
                        <pic:blipFill>
                          <a:blip r:embed="rId41"/>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03</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0" name="Picture 40"/>
                  <wp:cNvGraphicFramePr>
                    <a:graphicFrameLocks noChangeAspect="1"/>
                  </wp:cNvGraphicFramePr>
                  <a:graphic>
                    <a:graphicData uri="http://schemas.openxmlformats.org/drawingml/2006/picture">
                      <pic:pic>
                        <pic:nvPicPr>
                          <pic:cNvPr id="0" name="neighbor_03.png"/>
                          <pic:cNvPicPr/>
                        </pic:nvPicPr>
                        <pic:blipFill>
                          <a:blip r:embed="rId51"/>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0.225</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1" name="Picture 41"/>
                  <wp:cNvGraphicFramePr>
                    <a:graphicFrameLocks noChangeAspect="1"/>
                  </wp:cNvGraphicFramePr>
                  <a:graphic>
                    <a:graphicData uri="http://schemas.openxmlformats.org/drawingml/2006/picture">
                      <pic:pic>
                        <pic:nvPicPr>
                          <pic:cNvPr id="0" name="personaje_04.png"/>
                          <pic:cNvPicPr/>
                        </pic:nvPicPr>
                        <pic:blipFill>
                          <a:blip r:embed="rId42"/>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04</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2" name="Picture 42"/>
                  <wp:cNvGraphicFramePr>
                    <a:graphicFrameLocks noChangeAspect="1"/>
                  </wp:cNvGraphicFramePr>
                  <a:graphic>
                    <a:graphicData uri="http://schemas.openxmlformats.org/drawingml/2006/picture">
                      <pic:pic>
                        <pic:nvPicPr>
                          <pic:cNvPr id="0" name="neighbor_04.png"/>
                          <pic:cNvPicPr/>
                        </pic:nvPicPr>
                        <pic:blipFill>
                          <a:blip r:embed="rId52"/>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0.288</w:t>
            </w:r>
          </w:p>
        </w:tc>
      </w:tr>
      <w:tr>
        <w:trPr>
          <w:cantSplit/>
        </w:trPr>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3" name="Picture 43"/>
                  <wp:cNvGraphicFramePr>
                    <a:graphicFrameLocks noChangeAspect="1"/>
                  </wp:cNvGraphicFramePr>
                  <a:graphic>
                    <a:graphicData uri="http://schemas.openxmlformats.org/drawingml/2006/picture">
                      <pic:pic>
                        <pic:nvPicPr>
                          <pic:cNvPr id="0" name="personaje_05.png"/>
                          <pic:cNvPicPr/>
                        </pic:nvPicPr>
                        <pic:blipFill>
                          <a:blip r:embed="rId43"/>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05</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4" name="Picture 44"/>
                  <wp:cNvGraphicFramePr>
                    <a:graphicFrameLocks noChangeAspect="1"/>
                  </wp:cNvGraphicFramePr>
                  <a:graphic>
                    <a:graphicData uri="http://schemas.openxmlformats.org/drawingml/2006/picture">
                      <pic:pic>
                        <pic:nvPicPr>
                          <pic:cNvPr id="0" name="neighbor_05.png"/>
                          <pic:cNvPicPr/>
                        </pic:nvPicPr>
                        <pic:blipFill>
                          <a:blip r:embed="rId53"/>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0.264</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5" name="Picture 45"/>
                  <wp:cNvGraphicFramePr>
                    <a:graphicFrameLocks noChangeAspect="1"/>
                  </wp:cNvGraphicFramePr>
                  <a:graphic>
                    <a:graphicData uri="http://schemas.openxmlformats.org/drawingml/2006/picture">
                      <pic:pic>
                        <pic:nvPicPr>
                          <pic:cNvPr id="0" name="personaje_06.png"/>
                          <pic:cNvPicPr/>
                        </pic:nvPicPr>
                        <pic:blipFill>
                          <a:blip r:embed="rId44"/>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06</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6" name="Picture 46"/>
                  <wp:cNvGraphicFramePr>
                    <a:graphicFrameLocks noChangeAspect="1"/>
                  </wp:cNvGraphicFramePr>
                  <a:graphic>
                    <a:graphicData uri="http://schemas.openxmlformats.org/drawingml/2006/picture">
                      <pic:pic>
                        <pic:nvPicPr>
                          <pic:cNvPr id="0" name="neighbor_06.png"/>
                          <pic:cNvPicPr/>
                        </pic:nvPicPr>
                        <pic:blipFill>
                          <a:blip r:embed="rId54"/>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0.294</w:t>
            </w:r>
          </w:p>
        </w:tc>
      </w:tr>
      <w:tr>
        <w:trPr>
          <w:cantSplit/>
        </w:trPr>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7" name="Picture 47"/>
                  <wp:cNvGraphicFramePr>
                    <a:graphicFrameLocks noChangeAspect="1"/>
                  </wp:cNvGraphicFramePr>
                  <a:graphic>
                    <a:graphicData uri="http://schemas.openxmlformats.org/drawingml/2006/picture">
                      <pic:pic>
                        <pic:nvPicPr>
                          <pic:cNvPr id="0" name="personaje_07.png"/>
                          <pic:cNvPicPr/>
                        </pic:nvPicPr>
                        <pic:blipFill>
                          <a:blip r:embed="rId45"/>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07</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8" name="Picture 48"/>
                  <wp:cNvGraphicFramePr>
                    <a:graphicFrameLocks noChangeAspect="1"/>
                  </wp:cNvGraphicFramePr>
                  <a:graphic>
                    <a:graphicData uri="http://schemas.openxmlformats.org/drawingml/2006/picture">
                      <pic:pic>
                        <pic:nvPicPr>
                          <pic:cNvPr id="0" name="neighbor_05.png"/>
                          <pic:cNvPicPr/>
                        </pic:nvPicPr>
                        <pic:blipFill>
                          <a:blip r:embed="rId53"/>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0.256</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49" name="Picture 49"/>
                  <wp:cNvGraphicFramePr>
                    <a:graphicFrameLocks noChangeAspect="1"/>
                  </wp:cNvGraphicFramePr>
                  <a:graphic>
                    <a:graphicData uri="http://schemas.openxmlformats.org/drawingml/2006/picture">
                      <pic:pic>
                        <pic:nvPicPr>
                          <pic:cNvPr id="0" name="personaje_08.png"/>
                          <pic:cNvPicPr/>
                        </pic:nvPicPr>
                        <pic:blipFill>
                          <a:blip r:embed="rId46"/>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08</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50" name="Picture 50"/>
                  <wp:cNvGraphicFramePr>
                    <a:graphicFrameLocks noChangeAspect="1"/>
                  </wp:cNvGraphicFramePr>
                  <a:graphic>
                    <a:graphicData uri="http://schemas.openxmlformats.org/drawingml/2006/picture">
                      <pic:pic>
                        <pic:nvPicPr>
                          <pic:cNvPr id="0" name="neighbor_08.png"/>
                          <pic:cNvPicPr/>
                        </pic:nvPicPr>
                        <pic:blipFill>
                          <a:blip r:embed="rId55"/>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0.259</w:t>
            </w:r>
          </w:p>
        </w:tc>
      </w:tr>
      <w:tr>
        <w:trPr>
          <w:cantSplit/>
        </w:trPr>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51" name="Picture 51"/>
                  <wp:cNvGraphicFramePr>
                    <a:graphicFrameLocks noChangeAspect="1"/>
                  </wp:cNvGraphicFramePr>
                  <a:graphic>
                    <a:graphicData uri="http://schemas.openxmlformats.org/drawingml/2006/picture">
                      <pic:pic>
                        <pic:nvPicPr>
                          <pic:cNvPr id="0" name="personaje_09.png"/>
                          <pic:cNvPicPr/>
                        </pic:nvPicPr>
                        <pic:blipFill>
                          <a:blip r:embed="rId47"/>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09</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52" name="Picture 52"/>
                  <wp:cNvGraphicFramePr>
                    <a:graphicFrameLocks noChangeAspect="1"/>
                  </wp:cNvGraphicFramePr>
                  <a:graphic>
                    <a:graphicData uri="http://schemas.openxmlformats.org/drawingml/2006/picture">
                      <pic:pic>
                        <pic:nvPicPr>
                          <pic:cNvPr id="0" name="neighbor_09.png"/>
                          <pic:cNvPicPr/>
                        </pic:nvPicPr>
                        <pic:blipFill>
                          <a:blip r:embed="rId56"/>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0.240</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53" name="Picture 53"/>
                  <wp:cNvGraphicFramePr>
                    <a:graphicFrameLocks noChangeAspect="1"/>
                  </wp:cNvGraphicFramePr>
                  <a:graphic>
                    <a:graphicData uri="http://schemas.openxmlformats.org/drawingml/2006/picture">
                      <pic:pic>
                        <pic:nvPicPr>
                          <pic:cNvPr id="0" name="personaje_10.png"/>
                          <pic:cNvPicPr/>
                        </pic:nvPicPr>
                        <pic:blipFill>
                          <a:blip r:embed="rId48"/>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Generado 10</w:t>
            </w:r>
          </w:p>
        </w:tc>
        <w:tc>
          <w:tcPr>
            <w:tcW w:type="dxa" w:w="2340"/>
            <w:vAlign w:val="center"/>
          </w:tcPr>
          <w:p>
            <w:pPr>
              <w:spacing w:after="0" w:line="240" w:lineRule="auto"/>
              <w:jc w:val="center"/>
            </w:pPr>
            <w:r>
              <w:rPr>
                <w:rFonts w:ascii="Arial" w:hAnsi="Arial"/>
                <w:b w:val="0"/>
                <w:color w:val="000000"/>
                <w:sz w:val="2"/>
              </w:rPr>
              <w:drawing>
                <wp:inline xmlns:a="http://schemas.openxmlformats.org/drawingml/2006/main" xmlns:pic="http://schemas.openxmlformats.org/drawingml/2006/picture">
                  <wp:extent cx="914400" cy="914400"/>
                  <wp:docPr id="54" name="Picture 54"/>
                  <wp:cNvGraphicFramePr>
                    <a:graphicFrameLocks noChangeAspect="1"/>
                  </wp:cNvGraphicFramePr>
                  <a:graphic>
                    <a:graphicData uri="http://schemas.openxmlformats.org/drawingml/2006/picture">
                      <pic:pic>
                        <pic:nvPicPr>
                          <pic:cNvPr id="0" name="neighbor_03.png"/>
                          <pic:cNvPicPr/>
                        </pic:nvPicPr>
                        <pic:blipFill>
                          <a:blip r:embed="rId51"/>
                          <a:stretch>
                            <a:fillRect/>
                          </a:stretch>
                        </pic:blipFill>
                        <pic:spPr>
                          <a:xfrm>
                            <a:off x="0" y="0"/>
                            <a:ext cx="914400" cy="914400"/>
                          </a:xfrm>
                          <a:prstGeom prst="rect"/>
                        </pic:spPr>
                      </pic:pic>
                    </a:graphicData>
                  </a:graphic>
                </wp:inline>
              </w:drawing>
            </w:r>
          </w:p>
          <w:p>
            <w:pPr>
              <w:spacing w:line="260" w:lineRule="exact" w:before="60" w:after="300"/>
              <w:jc w:val="center"/>
            </w:pPr>
            <w:r>
              <w:rPr>
                <w:rFonts w:ascii="Arial" w:hAnsi="Arial"/>
                <w:b w:val="0"/>
                <w:color w:val="000000"/>
                <w:sz w:val="21"/>
              </w:rPr>
              <w:t>RMS 0.256</w:t>
            </w:r>
          </w:p>
        </w:tc>
      </w:tr>
    </w:tbl>
    <w:p>
      <w:pPr>
        <w:pStyle w:val="Heading1"/>
        <w:pageBreakBefore/>
        <w:spacing w:after="240"/>
        <w:jc w:val="left"/>
      </w:pPr>
      <w:r>
        <w:rPr>
          <w:rFonts w:ascii="Arial" w:hAnsi="Arial"/>
          <w:b/>
          <w:color w:val="000000"/>
          <w:sz w:val="22"/>
        </w:rPr>
        <w:t>Reflexión final, limitaciones y reproducción</w:t>
      </w:r>
    </w:p>
    <w:p>
      <w:pPr>
        <w:keepLines/>
        <w:spacing w:after="160"/>
      </w:pPr>
      <w:r>
        <w:rPr>
          <w:rFonts w:ascii="Arial" w:hAnsi="Arial"/>
          <w:b w:val="0"/>
          <w:color w:val="000000"/>
          <w:sz w:val="22"/>
        </w:rPr>
        <w:t>Aveline, personaje 09 (seed 1114), fue el más difícil de defender. Su vecino por ResNet es creatures_0111, con coseno 0.977; por RMS es creatures_0099 reflejado, con distancia 0.240. Conserva un cuerpo verde y apéndices que recuerdan formas del dataset. El parecido y la textura compartida impiden afirmar novedad solo con métricas. Este caso sugiere recombinación de colores y siluetas del universo, con detalles todavía poco legibles, y exige más datos y pruebas para defender una identidad nueva.</w:t>
      </w:r>
    </w:p>
    <w:p>
      <w:pPr>
        <w:spacing w:line="240" w:lineRule="auto" w:after="180"/>
        <w:jc w:val="center"/>
      </w:pPr>
      <w:r>
        <w:rPr>
          <w:rFonts w:ascii="Arial" w:hAnsi="Arial"/>
          <w:b w:val="0"/>
          <w:color w:val="000000"/>
          <w:sz w:val="2"/>
        </w:rPr>
        <w:drawing>
          <wp:inline xmlns:a="http://schemas.openxmlformats.org/drawingml/2006/main" xmlns:pic="http://schemas.openxmlformats.org/drawingml/2006/picture">
            <wp:extent cx="3724275" cy="1460500"/>
            <wp:docPr id="55" name="Picture 55"/>
            <wp:cNvGraphicFramePr>
              <a:graphicFrameLocks noChangeAspect="1"/>
            </wp:cNvGraphicFramePr>
            <a:graphic>
              <a:graphicData uri="http://schemas.openxmlformats.org/drawingml/2006/picture">
                <pic:pic>
                  <pic:nvPicPr>
                    <pic:cNvPr id="0" name="critical_case.png"/>
                    <pic:cNvPicPr/>
                  </pic:nvPicPr>
                  <pic:blipFill>
                    <a:blip r:embed="rId57"/>
                    <a:stretch>
                      <a:fillRect/>
                    </a:stretch>
                  </pic:blipFill>
                  <pic:spPr>
                    <a:xfrm>
                      <a:off x="0" y="0"/>
                      <a:ext cx="3724275" cy="1460500"/>
                    </a:xfrm>
                    <a:prstGeom prst="rect"/>
                  </pic:spPr>
                </pic:pic>
              </a:graphicData>
            </a:graphic>
          </wp:inline>
        </w:drawing>
      </w:r>
    </w:p>
    <w:p>
      <w:pPr>
        <w:keepLines/>
        <w:spacing w:after="160"/>
      </w:pPr>
      <w:r>
        <w:rPr>
          <w:rFonts w:ascii="Arial" w:hAnsi="Arial"/>
          <w:b w:val="0"/>
          <w:color w:val="000000"/>
          <w:sz w:val="22"/>
        </w:rPr>
        <w:t>La selección manual y la paleta favorecen coherencia visual, pero no prueban que cada resultado sea un personaje completamente nuevo. Los datos incluyen solo 164 originales de entrenamiento y contienen familias relacionadas. La red todavía puede omitir extremidades, repetir arquetipos o producir proporciones extrañas. No afirmamos ausencia de memorización a partir de una sola métrica.</w:t>
      </w:r>
    </w:p>
    <w:p>
      <w:pPr>
        <w:keepLines/>
        <w:spacing w:after="160"/>
      </w:pPr>
      <w:r>
        <w:rPr>
          <w:rFonts w:ascii="Arial" w:hAnsi="Arial"/>
          <w:b w:val="0"/>
          <w:color w:val="000000"/>
          <w:sz w:val="22"/>
        </w:rPr>
        <w:t>El paquete incluye los 312 originales, selección y separación, paleta de entrenamiento, configuraciones, hipótesis previas, historiales, figuras, pesos y galería. Ejecutar generar.py --verificar comprueba la regeneración. prepare_data.py reconstruye el dataset; el notebook y README detallan las tres corridas y la evaluación.</w:t>
      </w:r>
    </w:p>
    <w:p>
      <w:pPr>
        <w:keepLines/>
        <w:spacing w:after="160"/>
      </w:pPr>
      <w:r>
        <w:rPr>
          <w:rFonts w:ascii="Arial" w:hAnsi="Arial"/>
          <w:b w:val="0"/>
          <w:color w:val="000000"/>
          <w:sz w:val="22"/>
        </w:rPr>
        <w:t>Usamos asistentes de IA para revisar código, depurar datos, ejecutar verificaciones y redactar el informe. Todas las imágenes generadas provienen de las redes de este proyecto. Conservamos las corridas exploratorias y sus resultados como límites de la investigación.</w:t>
      </w:r>
    </w:p>
    <w:p>
      <w:pPr>
        <w:keepLines/>
        <w:spacing w:after="160"/>
      </w:pPr>
      <w:r>
        <w:rPr>
          <w:rFonts w:ascii="Arial" w:hAnsi="Arial"/>
          <w:b w:val="0"/>
          <w:color w:val="000000"/>
          <w:sz w:val="22"/>
        </w:rPr>
        <w:t xml:space="preserve">Fundamento adversarial: Goodfellow et al., Generative Adversarial Networks (2014), </w:t>
      </w:r>
      <w:hyperlink r:id="rId58">
        <w:r>
          <w:rPr>
            <w:rFonts w:ascii="Arial" w:hAnsi="Arial"/>
            <w:sz w:val="22"/>
            <w:color w:val="000000"/>
          </w:rPr>
          <w:t>arxiv.org/abs/1406.2661</w:t>
        </w:r>
      </w:hyperlink>
      <w:r>
        <w:rPr>
          <w:rFonts w:ascii="Arial" w:hAnsi="Arial"/>
          <w:b w:val="0"/>
          <w:color w:val="000000"/>
          <w:sz w:val="22"/>
        </w:rPr>
        <w:t>. Las referencias de datos, arquitectura y estabilización aparecen junto a sus respectivos análisis.</w:t>
      </w:r>
    </w:p>
    <w:p>
      <w:pPr>
        <w:pStyle w:val="Heading1"/>
        <w:pageBreakBefore/>
        <w:spacing w:after="240"/>
        <w:jc w:val="left"/>
      </w:pPr>
      <w:r>
        <w:rPr>
          <w:rFonts w:ascii="Arial" w:hAnsi="Arial"/>
          <w:b/>
          <w:color w:val="000000"/>
          <w:sz w:val="22"/>
        </w:rPr>
        <w:t>Matriz de evidencias</w:t>
      </w:r>
    </w:p>
    <w:p>
      <w:pPr>
        <w:keepLines/>
        <w:spacing w:after="160"/>
      </w:pPr>
      <w:r>
        <w:rPr>
          <w:rFonts w:ascii="Arial" w:hAnsi="Arial"/>
          <w:b w:val="0"/>
          <w:color w:val="000000"/>
          <w:sz w:val="22"/>
        </w:rPr>
        <w:t>La matriz vincula cada requisito con su evidencia, la conclusión que permite sostener y su principal limitación.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120" w:type="dxa"/>
          <w:left w:w="120" w:type="dxa"/>
          <w:bottom w:w="120" w:type="dxa"/>
          <w:right w:w="120" w:type="dxa"/>
        </w:tblCellMar>
      </w:tblPr>
      <w:tblGrid>
        <w:gridCol w:w="2000"/>
        <w:gridCol w:w="1000"/>
        <w:gridCol w:w="3080"/>
        <w:gridCol w:w="3280"/>
      </w:tblGrid>
      <w:tr>
        <w:trPr>
          <w:cantSplit/>
          <w:tblHeader/>
        </w:trPr>
        <w:tc>
          <w:tcPr>
            <w:tcW w:type="dxa" w:w="2000"/>
            <w:vAlign w:val="center"/>
          </w:tcPr>
          <w:p>
            <w:pPr>
              <w:spacing w:after="0" w:line="260" w:lineRule="exact"/>
              <w:jc w:val="left"/>
            </w:pPr>
            <w:r>
              <w:rPr>
                <w:rFonts w:ascii="Arial" w:hAnsi="Arial"/>
                <w:b/>
                <w:color w:val="000000"/>
                <w:sz w:val="21"/>
              </w:rPr>
              <w:t>Evidencia</w:t>
            </w:r>
          </w:p>
        </w:tc>
        <w:tc>
          <w:tcPr>
            <w:tcW w:type="dxa" w:w="1000"/>
            <w:vAlign w:val="center"/>
          </w:tcPr>
          <w:p>
            <w:pPr>
              <w:spacing w:after="0" w:line="260" w:lineRule="exact"/>
              <w:jc w:val="left"/>
            </w:pPr>
            <w:r>
              <w:rPr>
                <w:rFonts w:ascii="Arial" w:hAnsi="Arial"/>
                <w:b/>
                <w:color w:val="000000"/>
                <w:sz w:val="21"/>
              </w:rPr>
              <w:t>Página</w:t>
            </w:r>
          </w:p>
        </w:tc>
        <w:tc>
          <w:tcPr>
            <w:tcW w:type="dxa" w:w="3080"/>
            <w:vAlign w:val="center"/>
          </w:tcPr>
          <w:p>
            <w:pPr>
              <w:spacing w:after="0" w:line="260" w:lineRule="exact"/>
              <w:jc w:val="left"/>
            </w:pPr>
            <w:r>
              <w:rPr>
                <w:rFonts w:ascii="Arial" w:hAnsi="Arial"/>
                <w:b/>
                <w:color w:val="000000"/>
                <w:sz w:val="21"/>
              </w:rPr>
              <w:t>Conclusión</w:t>
            </w:r>
          </w:p>
        </w:tc>
        <w:tc>
          <w:tcPr>
            <w:tcW w:type="dxa" w:w="3280"/>
            <w:vAlign w:val="center"/>
          </w:tcPr>
          <w:p>
            <w:pPr>
              <w:spacing w:after="0" w:line="260" w:lineRule="exact"/>
              <w:jc w:val="left"/>
            </w:pPr>
            <w:r>
              <w:rPr>
                <w:rFonts w:ascii="Arial" w:hAnsi="Arial"/>
                <w:b/>
                <w:color w:val="000000"/>
                <w:sz w:val="21"/>
              </w:rPr>
              <w:t>Limitación</w:t>
            </w:r>
          </w:p>
        </w:tc>
      </w:tr>
      <w:tr>
        <w:trPr>
          <w:cantSplit/>
        </w:trPr>
        <w:tc>
          <w:tcPr>
            <w:tcW w:type="dxa" w:w="2000"/>
            <w:vAlign w:val="center"/>
          </w:tcPr>
          <w:p>
            <w:pPr>
              <w:spacing w:after="0" w:line="260" w:lineRule="exact"/>
              <w:jc w:val="left"/>
            </w:pPr>
            <w:r>
              <w:rPr>
                <w:rFonts w:ascii="Arial" w:hAnsi="Arial"/>
                <w:b w:val="0"/>
                <w:color w:val="000000"/>
                <w:sz w:val="21"/>
              </w:rPr>
              <w:t>Universo y fuentes</w:t>
            </w:r>
          </w:p>
        </w:tc>
        <w:tc>
          <w:tcPr>
            <w:tcW w:type="dxa" w:w="1000"/>
            <w:vAlign w:val="center"/>
          </w:tcPr>
          <w:p>
            <w:pPr>
              <w:spacing w:after="0" w:line="260" w:lineRule="exact"/>
              <w:jc w:val="left"/>
            </w:pPr>
            <w:r>
              <w:rPr>
                <w:rFonts w:ascii="Arial" w:hAnsi="Arial"/>
                <w:b w:val="0"/>
                <w:color w:val="000000"/>
                <w:sz w:val="21"/>
              </w:rPr>
              <w:t>1</w:t>
            </w:r>
          </w:p>
        </w:tc>
        <w:tc>
          <w:tcPr>
            <w:tcW w:type="dxa" w:w="3080"/>
            <w:vAlign w:val="center"/>
          </w:tcPr>
          <w:p>
            <w:pPr>
              <w:spacing w:after="0" w:line="260" w:lineRule="exact"/>
              <w:jc w:val="left"/>
            </w:pPr>
            <w:r>
              <w:rPr>
                <w:rFonts w:ascii="Arial" w:hAnsi="Arial"/>
                <w:b w:val="0"/>
                <w:color w:val="000000"/>
                <w:sz w:val="21"/>
              </w:rPr>
              <w:t>Estilo definido y fuentes CC0 documentadas.</w:t>
            </w:r>
          </w:p>
        </w:tc>
        <w:tc>
          <w:tcPr>
            <w:tcW w:type="dxa" w:w="3280"/>
            <w:vAlign w:val="center"/>
          </w:tcPr>
          <w:p>
            <w:pPr>
              <w:spacing w:after="0" w:line="260" w:lineRule="exact"/>
              <w:jc w:val="left"/>
            </w:pPr>
            <w:r>
              <w:rPr>
                <w:rFonts w:ascii="Arial" w:hAnsi="Arial"/>
                <w:b w:val="0"/>
                <w:color w:val="000000"/>
                <w:sz w:val="21"/>
              </w:rPr>
              <w:t>Coherencia visual evaluada de forma cualitativa.</w:t>
            </w:r>
          </w:p>
        </w:tc>
      </w:tr>
      <w:tr>
        <w:trPr>
          <w:cantSplit/>
        </w:trPr>
        <w:tc>
          <w:tcPr>
            <w:tcW w:type="dxa" w:w="2000"/>
            <w:vAlign w:val="center"/>
          </w:tcPr>
          <w:p>
            <w:pPr>
              <w:spacing w:after="0" w:line="260" w:lineRule="exact"/>
              <w:jc w:val="left"/>
            </w:pPr>
            <w:r>
              <w:rPr>
                <w:rFonts w:ascii="Arial" w:hAnsi="Arial"/>
                <w:b w:val="0"/>
                <w:color w:val="000000"/>
                <w:sz w:val="21"/>
              </w:rPr>
              <w:t>Depuración y separación</w:t>
            </w:r>
          </w:p>
        </w:tc>
        <w:tc>
          <w:tcPr>
            <w:tcW w:type="dxa" w:w="1000"/>
            <w:vAlign w:val="center"/>
          </w:tcPr>
          <w:p>
            <w:pPr>
              <w:spacing w:after="0" w:line="260" w:lineRule="exact"/>
              <w:jc w:val="left"/>
            </w:pPr>
            <w:r>
              <w:rPr>
                <w:rFonts w:ascii="Arial" w:hAnsi="Arial"/>
                <w:b w:val="0"/>
                <w:color w:val="000000"/>
                <w:sz w:val="21"/>
              </w:rPr>
              <w:t>2</w:t>
            </w:r>
          </w:p>
        </w:tc>
        <w:tc>
          <w:tcPr>
            <w:tcW w:type="dxa" w:w="3080"/>
            <w:vAlign w:val="center"/>
          </w:tcPr>
          <w:p>
            <w:pPr>
              <w:spacing w:after="0" w:line="260" w:lineRule="exact"/>
              <w:jc w:val="left"/>
            </w:pPr>
            <w:r>
              <w:rPr>
                <w:rFonts w:ascii="Arial" w:hAnsi="Arial"/>
                <w:b w:val="0"/>
                <w:color w:val="000000"/>
                <w:sz w:val="21"/>
              </w:rPr>
              <w:t>199 sprites, 164/35 y familias separadas antes del aumento.</w:t>
            </w:r>
          </w:p>
        </w:tc>
        <w:tc>
          <w:tcPr>
            <w:tcW w:type="dxa" w:w="3280"/>
            <w:vAlign w:val="center"/>
          </w:tcPr>
          <w:p>
            <w:pPr>
              <w:spacing w:after="0" w:line="260" w:lineRule="exact"/>
              <w:jc w:val="left"/>
            </w:pPr>
            <w:r>
              <w:rPr>
                <w:rFonts w:ascii="Arial" w:hAnsi="Arial"/>
                <w:b w:val="0"/>
                <w:color w:val="000000"/>
                <w:sz w:val="21"/>
              </w:rPr>
              <w:t>El agrupamiento puede omitir relaciones visuales.</w:t>
            </w:r>
          </w:p>
        </w:tc>
      </w:tr>
      <w:tr>
        <w:trPr>
          <w:cantSplit/>
        </w:trPr>
        <w:tc>
          <w:tcPr>
            <w:tcW w:type="dxa" w:w="2000"/>
            <w:vAlign w:val="center"/>
          </w:tcPr>
          <w:p>
            <w:pPr>
              <w:spacing w:after="0" w:line="260" w:lineRule="exact"/>
              <w:jc w:val="left"/>
            </w:pPr>
            <w:r>
              <w:rPr>
                <w:rFonts w:ascii="Arial" w:hAnsi="Arial"/>
                <w:b w:val="0"/>
                <w:color w:val="000000"/>
                <w:sz w:val="21"/>
              </w:rPr>
              <w:t>Arquitectura funcional</w:t>
            </w:r>
          </w:p>
        </w:tc>
        <w:tc>
          <w:tcPr>
            <w:tcW w:type="dxa" w:w="1000"/>
            <w:vAlign w:val="center"/>
          </w:tcPr>
          <w:p>
            <w:pPr>
              <w:spacing w:after="0" w:line="260" w:lineRule="exact"/>
              <w:jc w:val="left"/>
            </w:pPr>
            <w:r>
              <w:rPr>
                <w:rFonts w:ascii="Arial" w:hAnsi="Arial"/>
                <w:b w:val="0"/>
                <w:color w:val="000000"/>
                <w:sz w:val="21"/>
              </w:rPr>
              <w:t>3</w:t>
            </w:r>
          </w:p>
        </w:tc>
        <w:tc>
          <w:tcPr>
            <w:tcW w:type="dxa" w:w="3080"/>
            <w:vAlign w:val="center"/>
          </w:tcPr>
          <w:p>
            <w:pPr>
              <w:spacing w:after="0" w:line="260" w:lineRule="exact"/>
              <w:jc w:val="left"/>
            </w:pPr>
            <w:r>
              <w:rPr>
                <w:rFonts w:ascii="Arial" w:hAnsi="Arial"/>
                <w:b w:val="0"/>
                <w:color w:val="000000"/>
                <w:sz w:val="21"/>
              </w:rPr>
              <w:t>DCGAN con salida de paleta y exportación 64 × 64.</w:t>
            </w:r>
          </w:p>
        </w:tc>
        <w:tc>
          <w:tcPr>
            <w:tcW w:type="dxa" w:w="3280"/>
            <w:vAlign w:val="center"/>
          </w:tcPr>
          <w:p>
            <w:pPr>
              <w:spacing w:after="0" w:line="260" w:lineRule="exact"/>
              <w:jc w:val="left"/>
            </w:pPr>
            <w:r>
              <w:rPr>
                <w:rFonts w:ascii="Arial" w:hAnsi="Arial"/>
                <w:b w:val="0"/>
                <w:color w:val="000000"/>
                <w:sz w:val="21"/>
              </w:rPr>
              <w:t>Gradiente sustituto aproximado y pocos datos.</w:t>
            </w:r>
          </w:p>
        </w:tc>
      </w:tr>
      <w:tr>
        <w:trPr>
          <w:cantSplit/>
        </w:trPr>
        <w:tc>
          <w:tcPr>
            <w:tcW w:type="dxa" w:w="2000"/>
            <w:vAlign w:val="center"/>
          </w:tcPr>
          <w:p>
            <w:pPr>
              <w:spacing w:after="0" w:line="260" w:lineRule="exact"/>
              <w:jc w:val="left"/>
            </w:pPr>
            <w:r>
              <w:rPr>
                <w:rFonts w:ascii="Arial" w:hAnsi="Arial"/>
                <w:b w:val="0"/>
                <w:color w:val="000000"/>
                <w:sz w:val="21"/>
              </w:rPr>
              <w:t>Pérdida BCE frente a Hinge</w:t>
            </w:r>
          </w:p>
        </w:tc>
        <w:tc>
          <w:tcPr>
            <w:tcW w:type="dxa" w:w="1000"/>
            <w:vAlign w:val="center"/>
          </w:tcPr>
          <w:p>
            <w:pPr>
              <w:spacing w:after="0" w:line="260" w:lineRule="exact"/>
              <w:jc w:val="left"/>
            </w:pPr>
            <w:r>
              <w:rPr>
                <w:rFonts w:ascii="Arial" w:hAnsi="Arial"/>
                <w:b w:val="0"/>
                <w:color w:val="000000"/>
                <w:sz w:val="21"/>
              </w:rPr>
              <w:t>4</w:t>
            </w:r>
          </w:p>
        </w:tc>
        <w:tc>
          <w:tcPr>
            <w:tcW w:type="dxa" w:w="3080"/>
            <w:vAlign w:val="center"/>
          </w:tcPr>
          <w:p>
            <w:pPr>
              <w:spacing w:after="0" w:line="260" w:lineRule="exact"/>
              <w:jc w:val="left"/>
            </w:pPr>
            <w:r>
              <w:rPr>
                <w:rFonts w:ascii="Arial" w:hAnsi="Arial"/>
                <w:b w:val="0"/>
                <w:color w:val="000000"/>
                <w:sz w:val="21"/>
              </w:rPr>
              <w:t>Comparación con una sola variable modificada.</w:t>
            </w:r>
          </w:p>
        </w:tc>
        <w:tc>
          <w:tcPr>
            <w:tcW w:type="dxa" w:w="3280"/>
            <w:vAlign w:val="center"/>
          </w:tcPr>
          <w:p>
            <w:pPr>
              <w:spacing w:after="0" w:line="260" w:lineRule="exact"/>
              <w:jc w:val="left"/>
            </w:pPr>
            <w:r>
              <w:rPr>
                <w:rFonts w:ascii="Arial" w:hAnsi="Arial"/>
                <w:b w:val="0"/>
                <w:color w:val="000000"/>
                <w:sz w:val="21"/>
              </w:rPr>
              <w:t>Una semilla y pérdidas con escalas distintas.</w:t>
            </w:r>
          </w:p>
        </w:tc>
      </w:tr>
      <w:tr>
        <w:trPr>
          <w:cantSplit/>
        </w:trPr>
        <w:tc>
          <w:tcPr>
            <w:tcW w:type="dxa" w:w="2000"/>
            <w:vAlign w:val="center"/>
          </w:tcPr>
          <w:p>
            <w:pPr>
              <w:spacing w:after="0" w:line="260" w:lineRule="exact"/>
              <w:jc w:val="left"/>
            </w:pPr>
            <w:r>
              <w:rPr>
                <w:rFonts w:ascii="Arial" w:hAnsi="Arial"/>
                <w:b w:val="0"/>
                <w:color w:val="000000"/>
                <w:sz w:val="21"/>
              </w:rPr>
              <w:t>Normalización espectral</w:t>
            </w:r>
          </w:p>
        </w:tc>
        <w:tc>
          <w:tcPr>
            <w:tcW w:type="dxa" w:w="1000"/>
            <w:vAlign w:val="center"/>
          </w:tcPr>
          <w:p>
            <w:pPr>
              <w:spacing w:after="0" w:line="260" w:lineRule="exact"/>
              <w:jc w:val="left"/>
            </w:pPr>
            <w:r>
              <w:rPr>
                <w:rFonts w:ascii="Arial" w:hAnsi="Arial"/>
                <w:b w:val="0"/>
                <w:color w:val="000000"/>
                <w:sz w:val="21"/>
              </w:rPr>
              <w:t>5</w:t>
            </w:r>
          </w:p>
        </w:tc>
        <w:tc>
          <w:tcPr>
            <w:tcW w:type="dxa" w:w="3080"/>
            <w:vAlign w:val="center"/>
          </w:tcPr>
          <w:p>
            <w:pPr>
              <w:spacing w:after="0" w:line="260" w:lineRule="exact"/>
              <w:jc w:val="left"/>
            </w:pPr>
            <w:r>
              <w:rPr>
                <w:rFonts w:ascii="Arial" w:hAnsi="Arial"/>
                <w:b w:val="0"/>
                <w:color w:val="000000"/>
                <w:sz w:val="21"/>
              </w:rPr>
              <w:t>Comparación Hinge/SN conservando BatchNorm.</w:t>
            </w:r>
          </w:p>
        </w:tc>
        <w:tc>
          <w:tcPr>
            <w:tcW w:type="dxa" w:w="3280"/>
            <w:vAlign w:val="center"/>
          </w:tcPr>
          <w:p>
            <w:pPr>
              <w:spacing w:after="0" w:line="260" w:lineRule="exact"/>
              <w:jc w:val="left"/>
            </w:pPr>
            <w:r>
              <w:rPr>
                <w:rFonts w:ascii="Arial" w:hAnsi="Arial"/>
                <w:b w:val="0"/>
                <w:color w:val="000000"/>
                <w:sz w:val="21"/>
              </w:rPr>
              <w:t>El resultado depende de esta arquitectura.</w:t>
            </w:r>
          </w:p>
        </w:tc>
      </w:tr>
      <w:tr>
        <w:trPr>
          <w:cantSplit/>
        </w:trPr>
        <w:tc>
          <w:tcPr>
            <w:tcW w:type="dxa" w:w="2000"/>
            <w:vAlign w:val="center"/>
          </w:tcPr>
          <w:p>
            <w:pPr>
              <w:spacing w:after="0" w:line="260" w:lineRule="exact"/>
              <w:jc w:val="left"/>
            </w:pPr>
            <w:r>
              <w:rPr>
                <w:rFonts w:ascii="Arial" w:hAnsi="Arial"/>
                <w:b w:val="0"/>
                <w:color w:val="000000"/>
                <w:sz w:val="21"/>
              </w:rPr>
              <w:t>Ruido fijo y curvas</w:t>
            </w:r>
          </w:p>
        </w:tc>
        <w:tc>
          <w:tcPr>
            <w:tcW w:type="dxa" w:w="1000"/>
            <w:vAlign w:val="center"/>
          </w:tcPr>
          <w:p>
            <w:pPr>
              <w:spacing w:after="0" w:line="260" w:lineRule="exact"/>
              <w:jc w:val="left"/>
            </w:pPr>
            <w:r>
              <w:rPr>
                <w:rFonts w:ascii="Arial" w:hAnsi="Arial"/>
                <w:b w:val="0"/>
                <w:color w:val="000000"/>
                <w:sz w:val="21"/>
              </w:rPr>
              <w:t>6, 7</w:t>
            </w:r>
          </w:p>
        </w:tc>
        <w:tc>
          <w:tcPr>
            <w:tcW w:type="dxa" w:w="3080"/>
            <w:vAlign w:val="center"/>
          </w:tcPr>
          <w:p>
            <w:pPr>
              <w:spacing w:after="0" w:line="260" w:lineRule="exact"/>
              <w:jc w:val="left"/>
            </w:pPr>
            <w:r>
              <w:rPr>
                <w:rFonts w:ascii="Arial" w:hAnsi="Arial"/>
                <w:b w:val="0"/>
                <w:color w:val="000000"/>
                <w:sz w:val="21"/>
              </w:rPr>
              <w:t>Evolución de 16 vectores y dinámica documentadas.</w:t>
            </w:r>
          </w:p>
        </w:tc>
        <w:tc>
          <w:tcPr>
            <w:tcW w:type="dxa" w:w="3280"/>
            <w:vAlign w:val="center"/>
          </w:tcPr>
          <w:p>
            <w:pPr>
              <w:spacing w:after="0" w:line="260" w:lineRule="exact"/>
              <w:jc w:val="left"/>
            </w:pPr>
            <w:r>
              <w:rPr>
                <w:rFonts w:ascii="Arial" w:hAnsi="Arial"/>
                <w:b w:val="0"/>
                <w:color w:val="000000"/>
                <w:sz w:val="21"/>
              </w:rPr>
              <w:t>Muestras y pérdidas no prueban generalización.</w:t>
            </w:r>
          </w:p>
        </w:tc>
      </w:tr>
      <w:tr>
        <w:trPr>
          <w:cantSplit/>
        </w:trPr>
        <w:tc>
          <w:tcPr>
            <w:tcW w:type="dxa" w:w="2000"/>
            <w:vAlign w:val="center"/>
          </w:tcPr>
          <w:p>
            <w:pPr>
              <w:spacing w:after="0" w:line="260" w:lineRule="exact"/>
              <w:jc w:val="left"/>
            </w:pPr>
            <w:r>
              <w:rPr>
                <w:rFonts w:ascii="Arial" w:hAnsi="Arial"/>
                <w:b w:val="0"/>
                <w:color w:val="000000"/>
                <w:sz w:val="21"/>
              </w:rPr>
              <w:t>Evaluación y elección</w:t>
            </w:r>
          </w:p>
        </w:tc>
        <w:tc>
          <w:tcPr>
            <w:tcW w:type="dxa" w:w="1000"/>
            <w:vAlign w:val="center"/>
          </w:tcPr>
          <w:p>
            <w:pPr>
              <w:spacing w:after="0" w:line="260" w:lineRule="exact"/>
              <w:jc w:val="left"/>
            </w:pPr>
            <w:r>
              <w:rPr>
                <w:rFonts w:ascii="Arial" w:hAnsi="Arial"/>
                <w:b w:val="0"/>
                <w:color w:val="000000"/>
                <w:sz w:val="21"/>
              </w:rPr>
              <w:t>8</w:t>
            </w:r>
          </w:p>
        </w:tc>
        <w:tc>
          <w:tcPr>
            <w:tcW w:type="dxa" w:w="3080"/>
            <w:vAlign w:val="center"/>
          </w:tcPr>
          <w:p>
            <w:pPr>
              <w:spacing w:after="0" w:line="260" w:lineRule="exact"/>
              <w:jc w:val="left"/>
            </w:pPr>
            <w:r>
              <w:rPr>
                <w:rFonts w:ascii="Arial" w:hAnsi="Arial"/>
                <w:b w:val="0"/>
                <w:color w:val="000000"/>
                <w:sz w:val="21"/>
              </w:rPr>
              <w:t>Decisión basada en imágenes y varias medidas.</w:t>
            </w:r>
          </w:p>
        </w:tc>
        <w:tc>
          <w:tcPr>
            <w:tcW w:type="dxa" w:w="3280"/>
            <w:vAlign w:val="center"/>
          </w:tcPr>
          <w:p>
            <w:pPr>
              <w:spacing w:after="0" w:line="260" w:lineRule="exact"/>
              <w:jc w:val="left"/>
            </w:pPr>
            <w:r>
              <w:rPr>
                <w:rFonts w:ascii="Arial" w:hAnsi="Arial"/>
                <w:b w:val="0"/>
                <w:color w:val="000000"/>
                <w:sz w:val="21"/>
              </w:rPr>
              <w:t>Validación usada para elegir, sin prueba independiente.</w:t>
            </w:r>
          </w:p>
        </w:tc>
      </w:tr>
      <w:tr>
        <w:trPr>
          <w:cantSplit/>
        </w:trPr>
        <w:tc>
          <w:tcPr>
            <w:tcW w:type="dxa" w:w="2000"/>
            <w:vAlign w:val="center"/>
          </w:tcPr>
          <w:p>
            <w:pPr>
              <w:spacing w:after="0" w:line="260" w:lineRule="exact"/>
              <w:jc w:val="left"/>
            </w:pPr>
            <w:r>
              <w:rPr>
                <w:rFonts w:ascii="Arial" w:hAnsi="Arial"/>
                <w:b w:val="0"/>
                <w:color w:val="000000"/>
                <w:sz w:val="21"/>
              </w:rPr>
              <w:t>Galería regenerable</w:t>
            </w:r>
          </w:p>
        </w:tc>
        <w:tc>
          <w:tcPr>
            <w:tcW w:type="dxa" w:w="1000"/>
            <w:vAlign w:val="center"/>
          </w:tcPr>
          <w:p>
            <w:pPr>
              <w:spacing w:after="0" w:line="260" w:lineRule="exact"/>
              <w:jc w:val="left"/>
            </w:pPr>
            <w:r>
              <w:rPr>
                <w:rFonts w:ascii="Arial" w:hAnsi="Arial"/>
                <w:b w:val="0"/>
                <w:color w:val="000000"/>
                <w:sz w:val="21"/>
              </w:rPr>
              <w:t>9</w:t>
            </w:r>
          </w:p>
        </w:tc>
        <w:tc>
          <w:tcPr>
            <w:tcW w:type="dxa" w:w="3080"/>
            <w:vAlign w:val="center"/>
          </w:tcPr>
          <w:p>
            <w:pPr>
              <w:spacing w:after="0" w:line="260" w:lineRule="exact"/>
              <w:jc w:val="left"/>
            </w:pPr>
            <w:r>
              <w:rPr>
                <w:rFonts w:ascii="Arial" w:hAnsi="Arial"/>
                <w:b w:val="0"/>
                <w:color w:val="000000"/>
                <w:sz w:val="21"/>
              </w:rPr>
              <w:t>10/200, vectores y semillas verificados en CPU.</w:t>
            </w:r>
          </w:p>
        </w:tc>
        <w:tc>
          <w:tcPr>
            <w:tcW w:type="dxa" w:w="3280"/>
            <w:vAlign w:val="center"/>
          </w:tcPr>
          <w:p>
            <w:pPr>
              <w:spacing w:after="0" w:line="260" w:lineRule="exact"/>
              <w:jc w:val="left"/>
            </w:pPr>
            <w:r>
              <w:rPr>
                <w:rFonts w:ascii="Arial" w:hAnsi="Arial"/>
                <w:b w:val="0"/>
                <w:color w:val="000000"/>
                <w:sz w:val="21"/>
              </w:rPr>
              <w:t>Curación manual y calidad visual limitada.</w:t>
            </w:r>
          </w:p>
        </w:tc>
      </w:tr>
      <w:tr>
        <w:trPr>
          <w:cantSplit/>
        </w:trPr>
        <w:tc>
          <w:tcPr>
            <w:tcW w:type="dxa" w:w="2000"/>
            <w:vAlign w:val="center"/>
          </w:tcPr>
          <w:p>
            <w:pPr>
              <w:spacing w:after="0" w:line="260" w:lineRule="exact"/>
              <w:jc w:val="left"/>
            </w:pPr>
            <w:r>
              <w:rPr>
                <w:rFonts w:ascii="Arial" w:hAnsi="Arial"/>
                <w:b w:val="0"/>
                <w:color w:val="000000"/>
                <w:sz w:val="21"/>
              </w:rPr>
              <w:t>Vecinos y reflexión</w:t>
            </w:r>
          </w:p>
        </w:tc>
        <w:tc>
          <w:tcPr>
            <w:tcW w:type="dxa" w:w="1000"/>
            <w:vAlign w:val="center"/>
          </w:tcPr>
          <w:p>
            <w:pPr>
              <w:spacing w:after="0" w:line="260" w:lineRule="exact"/>
              <w:jc w:val="left"/>
            </w:pPr>
            <w:r>
              <w:rPr>
                <w:rFonts w:ascii="Arial" w:hAnsi="Arial"/>
                <w:b w:val="0"/>
                <w:color w:val="000000"/>
                <w:sz w:val="21"/>
              </w:rPr>
              <w:t>10, 11</w:t>
            </w:r>
          </w:p>
        </w:tc>
        <w:tc>
          <w:tcPr>
            <w:tcW w:type="dxa" w:w="3080"/>
            <w:vAlign w:val="center"/>
          </w:tcPr>
          <w:p>
            <w:pPr>
              <w:spacing w:after="0" w:line="260" w:lineRule="exact"/>
              <w:jc w:val="left"/>
            </w:pPr>
            <w:r>
              <w:rPr>
                <w:rFonts w:ascii="Arial" w:hAnsi="Arial"/>
                <w:b w:val="0"/>
                <w:color w:val="000000"/>
                <w:sz w:val="21"/>
              </w:rPr>
              <w:t>Cada personaje tiene un vecino inspeccionable.</w:t>
            </w:r>
          </w:p>
        </w:tc>
        <w:tc>
          <w:tcPr>
            <w:tcW w:type="dxa" w:w="3280"/>
            <w:vAlign w:val="center"/>
          </w:tcPr>
          <w:p>
            <w:pPr>
              <w:spacing w:after="0" w:line="260" w:lineRule="exact"/>
              <w:jc w:val="left"/>
            </w:pPr>
            <w:r>
              <w:rPr>
                <w:rFonts w:ascii="Arial" w:hAnsi="Arial"/>
                <w:b w:val="0"/>
                <w:color w:val="000000"/>
                <w:sz w:val="21"/>
              </w:rPr>
              <w:t>RMS y ResNet tienen sesgos de fondo y textura.</w:t>
            </w:r>
          </w:p>
        </w:tc>
      </w:tr>
    </w:tbl>
    <w:p>
      <w:pPr>
        <w:spacing w:line="240" w:lineRule="exact" w:after="0"/>
      </w:pPr>
      <w:r>
        <w:rPr>
          <w:rFonts w:ascii="Arial" w:hAnsi="Arial"/>
          <w:b w:val="0"/>
          <w:color w:val="000000"/>
          <w:sz w:val="2"/>
        </w:rPr>
      </w:r>
    </w:p>
    <w:p>
      <w:pPr>
        <w:keepLines/>
        <w:spacing w:after="160"/>
      </w:pPr>
      <w:r>
        <w:rPr>
          <w:rFonts w:ascii="Arial" w:hAnsi="Arial"/>
          <w:b w:val="0"/>
          <w:color w:val="000000"/>
          <w:sz w:val="22"/>
        </w:rPr>
        <w:t>Los manifiestos y archivos JSON contienen las cifras completas. El informe distingue las observaciones de las hipótesis y conserva las limitaciones que afectan la interpretación de los resultados.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exact" w:line="300"/>
      <w:jc w:val="both"/>
    </w:pPr>
    <w:rPr>
      <w:rFonts w:ascii="Arial" w:hAnsi="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Rule="exact" w:line="300"/>
      <w:outlineLvl w:val="0"/>
    </w:pPr>
    <w:rPr>
      <w:rFonts w:asciiTheme="majorHAnsi" w:eastAsiaTheme="majorEastAsia" w:hAnsiTheme="majorHAnsi"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00" w:lineRule="exact" w:before="0"/>
      <w:contextualSpacing/>
    </w:pPr>
    <w:rPr>
      <w:rFonts w:asciiTheme="majorHAnsi" w:eastAsiaTheme="majorEastAsia" w:hAnsiTheme="majorHAnsi" w:cstheme="majorBidi" w:ascii="Arial" w:hAnsi="Arial"/>
      <w:b/>
      <w:i w:val="0"/>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before="0" w:after="160"/>
    </w:pPr>
    <w:rPr>
      <w:rFonts w:ascii="Arial" w:hAnsi="Arial"/>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kenney.nl/assets/tiny-dungeon" TargetMode="External"/><Relationship Id="rId11" Type="http://schemas.openxmlformats.org/officeDocument/2006/relationships/hyperlink" Target="https://opengameart.org/content/tiny-creature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hyperlink" Target="https://arxiv.org/abs/1511.06434" TargetMode="External"/><Relationship Id="rId31" Type="http://schemas.openxmlformats.org/officeDocument/2006/relationships/hyperlink" Target="https://arxiv.org/abs/1308.3432" TargetMode="External"/><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hyperlink" Target="https://arxiv.org/abs/1802.05957" TargetMode="External"/><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hyperlink" Target="https://arxiv.org/abs/1406.2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generativo de personajes Informe de resultados</dc:title>
  <dc:subject>Experimentos controlados con GAN y galería regenerable</dc:subject>
  <dc:creator>Luis Gonzalez - 23353; Jonathan Zacarias - 231104</dc:creator>
  <cp:keywords/>
  <dc:description>generated by python-docx</dc:description>
  <cp:lastModifiedBy/>
  <cp:revision>1</cp:revision>
  <dcterms:created xsi:type="dcterms:W3CDTF">2013-12-23T23:15:00Z</dcterms:created>
  <dcterms:modified xsi:type="dcterms:W3CDTF">2013-12-23T23:15:00Z</dcterms:modified>
  <cp:category/>
</cp:coreProperties>
</file>