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1AE4B5">
      <w:pPr>
        <w:pBdr/>
        <w:spacing w:after="52" w:before="52" w:line="240" w:lineRule="exact"/>
        <w:ind/>
        <w:rPr>
          <w:sz w:val="19"/>
          <w:szCs w:val="19"/>
        </w:rPr>
      </w:pPr>
      <w:r>
        <w:rPr>
          <w:sz w:val="19"/>
          <w:szCs w:val="19"/>
        </w:rPr>
      </w:r>
      <w:r>
        <w:rPr>
          <w:sz w:val="19"/>
          <w:szCs w:val="19"/>
        </w:rPr>
      </w:r>
      <w:r>
        <w:rPr>
          <w:sz w:val="19"/>
          <w:szCs w:val="19"/>
        </w:rPr>
      </w:r>
    </w:p>
    <w:p w14:paraId="69BBEADD">
      <w:pPr>
        <w:pBdr/>
        <w:spacing w:after="52" w:before="52" w:line="240" w:lineRule="exact"/>
        <w:ind/>
        <w:rPr>
          <w:sz w:val="19"/>
          <w:szCs w:val="19"/>
        </w:rPr>
      </w:pPr>
      <w:r>
        <w:rPr>
          <w:sz w:val="19"/>
          <w:szCs w:val="19"/>
        </w:rPr>
      </w:r>
      <w:r>
        <w:rPr>
          <w:sz w:val="19"/>
          <w:szCs w:val="19"/>
        </w:rPr>
      </w:r>
      <w:r>
        <w:rPr>
          <w:sz w:val="19"/>
          <w:szCs w:val="19"/>
        </w:rPr>
      </w:r>
    </w:p>
    <w:p w14:paraId="189FA5CD">
      <w:pPr>
        <w:pBdr/>
        <w:tabs>
          <w:tab w:val="left" w:leader="none" w:pos="3795"/>
        </w:tabs>
        <w:spacing w:after="52" w:before="52" w:line="240" w:lineRule="exact"/>
        <w:ind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Договор аренды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{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enumeration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}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</w:p>
    <w:p w14:paraId="6064CE4A">
      <w:pPr>
        <w:pBdr/>
        <w:tabs>
          <w:tab w:val="left" w:leader="none" w:pos="3795"/>
        </w:tabs>
        <w:spacing w:after="52" w:before="52" w:line="240" w:lineRule="exact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356870" distL="63500" distR="63500" simplePos="0" relativeHeight="4294444032" behindDoc="1" locked="0" layoutInCell="1" allowOverlap="1">
                <wp:simplePos x="0" y="0"/>
                <wp:positionH relativeFrom="margin">
                  <wp:posOffset>810895</wp:posOffset>
                </wp:positionH>
                <wp:positionV relativeFrom="paragraph">
                  <wp:posOffset>140153</wp:posOffset>
                </wp:positionV>
                <wp:extent cx="810260" cy="311150"/>
                <wp:effectExtent l="0" t="0" r="0" b="0"/>
                <wp:wrapSquare wrapText="bothSides"/>
                <wp:docPr id="1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51813660" name=""/>
                      <wps:cNvSpPr txBox="1"/>
                      <wps:spPr bwMode="auto">
                        <a:xfrm>
                          <a:off x="0" y="0"/>
                          <a:ext cx="810259" cy="311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wps:spPr>
                      <wps:txbx>
                        <w:txbxContent>
                          <w:p w14:paraId="037C7CE6">
                            <w:pPr>
                              <w:pStyle w:val="903"/>
                              <w:pBdr/>
                              <w:shd w:val="clear" w:color="auto" w:fill="auto"/>
                              <w:spacing w:after="0" w:line="230" w:lineRule="exact"/>
                              <w:ind/>
                              <w:jc w:val="left"/>
                              <w:rPr/>
                            </w:pPr>
                            <w:r>
                              <w:rPr>
                                <w:rStyle w:val="897"/>
                                <w:b/>
                                <w:bCs/>
                                <w:spacing w:val="0"/>
                              </w:rPr>
                              <w:t xml:space="preserve">п.Жанаарка</w:t>
                            </w:r>
                            <w:r/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-4294444032;o:allowoverlap:true;o:allowincell:true;mso-position-horizontal-relative:margin;margin-left:63.85pt;mso-position-horizontal:absolute;mso-position-vertical-relative:text;margin-top:11.04pt;mso-position-vertical:absolute;width:63.80pt;height:24.50pt;mso-wrap-distance-left:5.00pt;mso-wrap-distance-top:0.00pt;mso-wrap-distance-right:5.00pt;mso-wrap-distance-bottom:28.10pt;visibility:visible;" filled="f" stroked="f">
                <w10:wrap type="square"/>
                <v:textbox inset="0,0,0,0">
                  <w:txbxContent>
                    <w:p w14:paraId="037C7CE6">
                      <w:pPr>
                        <w:pStyle w:val="903"/>
                        <w:pBdr/>
                        <w:shd w:val="clear" w:color="auto" w:fill="auto"/>
                        <w:spacing w:after="0" w:line="230" w:lineRule="exact"/>
                        <w:ind/>
                        <w:jc w:val="left"/>
                        <w:rPr/>
                      </w:pPr>
                      <w:r>
                        <w:rPr>
                          <w:rStyle w:val="897"/>
                          <w:b/>
                          <w:bCs/>
                          <w:spacing w:val="0"/>
                        </w:rPr>
                        <w:t xml:space="preserve">п.Жанаарка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03F0C8A3">
      <w:pPr>
        <w:pBdr/>
        <w:spacing/>
        <w:ind/>
        <w:rPr>
          <w:sz w:val="2"/>
          <w:szCs w:val="2"/>
        </w:rPr>
        <w:sectPr>
          <w:footnotePr/>
          <w:endnotePr/>
          <w:type w:val="continuous"/>
          <w:pgSz w:h="16838" w:orient="portrait" w:w="11909"/>
          <w:pgMar w:top="0" w:right="0" w:bottom="0" w:left="0" w:header="0" w:footer="3" w:gutter="0"/>
          <w:cols w:num="1" w:sep="0" w:space="720" w:equalWidth="1"/>
        </w:sectPr>
      </w:pPr>
      <w:r>
        <w:rPr>
          <w:sz w:val="2"/>
          <w:szCs w:val="2"/>
        </w:rPr>
        <w:t xml:space="preserve">ЛРШЗИОТДЛЖ</w:t>
      </w:r>
      <w:r>
        <w:rPr>
          <w:sz w:val="2"/>
          <w:szCs w:val="2"/>
        </w:rPr>
      </w:r>
      <w:r>
        <w:rPr>
          <w:sz w:val="2"/>
          <w:szCs w:val="2"/>
        </w:rPr>
      </w:r>
    </w:p>
    <w:p w14:paraId="0EC00B0E">
      <w:pPr>
        <w:pStyle w:val="903"/>
        <w:pBdr/>
        <w:shd w:val="clear" w:color="auto" w:fill="auto"/>
        <w:spacing w:after="502" w:line="240" w:lineRule="exact"/>
        <w:ind w:right="240"/>
        <w:jc w:val="center"/>
        <w:rPr/>
      </w:pPr>
      <w:r>
        <w:t xml:space="preserve">                                                                                         </w:t>
      </w:r>
      <w:r>
        <w:rPr>
          <w:lang w:val="en-US"/>
        </w:rPr>
        <w:t xml:space="preserve">{formattedDateFrom}</w:t>
      </w:r>
      <w:r/>
    </w:p>
    <w:p w14:paraId="194D0311">
      <w:pPr>
        <w:pStyle w:val="901"/>
        <w:pBdr/>
        <w:shd w:val="clear" w:color="auto" w:fill="auto"/>
        <w:spacing w:after="170" w:before="0"/>
        <w:ind w:right="240" w:left="40"/>
        <w:rPr/>
      </w:pPr>
      <w:r>
        <w:rPr>
          <w:rStyle w:val="904"/>
        </w:rPr>
        <w:t xml:space="preserve">ИП «XANSHA» Рыспаева Г.С. </w:t>
      </w:r>
      <w:r>
        <w:t xml:space="preserve">ИИН 720128450445 именуемый (ая) в дальнейшем «Арендодатель», свидетельство о государственной регистрации </w:t>
      </w:r>
      <w:r>
        <w:rPr>
          <w:b/>
        </w:rPr>
        <w:t xml:space="preserve">ИП - серия № </w:t>
      </w:r>
      <w:r>
        <w:rPr>
          <w:b/>
          <w:lang w:val="en-US"/>
        </w:rPr>
        <w:t xml:space="preserve">KZ</w:t>
      </w:r>
      <w:r>
        <w:rPr>
          <w:b/>
        </w:rPr>
        <w:t xml:space="preserve">29</w:t>
      </w:r>
      <w:r>
        <w:rPr>
          <w:b/>
          <w:lang w:val="en-US"/>
        </w:rPr>
        <w:t xml:space="preserve">TWQ</w:t>
      </w:r>
      <w:r>
        <w:rPr>
          <w:b/>
        </w:rPr>
        <w:t xml:space="preserve">00218744 </w:t>
      </w:r>
      <w:r>
        <w:t xml:space="preserve">выдан Налоговым управлением по Жанааркинскому району 04.02.2013г. Бессрочно по СНР на основе упрощенной декларации, согласно Налоговому Кодексу РК статьи 377 </w:t>
      </w:r>
      <w:r>
        <w:rPr>
          <w:b/>
        </w:rPr>
        <w:t xml:space="preserve">патент не предусмотрен,</w:t>
      </w:r>
      <w:r>
        <w:t xml:space="preserve"> с одной стороны, и   </w:t>
      </w:r>
      <w:r>
        <w:rPr>
          <w:b w:val="0"/>
          <w:bCs w:val="0"/>
          <w:sz w:val="24"/>
          <w:szCs w:val="24"/>
          <w:lang w:val="en-US"/>
        </w:rPr>
        <w:t xml:space="preserve">{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customer.organization</w:t>
      </w:r>
      <w:r>
        <w:rPr>
          <w:b w:val="0"/>
          <w:bCs w:val="0"/>
          <w:sz w:val="24"/>
          <w:szCs w:val="24"/>
          <w:lang w:val="en-US"/>
        </w:rPr>
        <w:t xml:space="preserve">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organization</w:t>
      </w:r>
      <w:r>
        <w:rPr>
          <w:b w:val="0"/>
          <w:bCs w:val="0"/>
          <w:sz w:val="24"/>
          <w:szCs w:val="24"/>
          <w:lang w:val="en-US"/>
        </w:rPr>
        <w:t xml:space="preserve">}</w:t>
      </w:r>
      <w:r>
        <w:t xml:space="preserve"> в лице </w:t>
      </w:r>
      <w:r>
        <w:t xml:space="preserve">{customer.fullnameClient}</w:t>
      </w:r>
      <w:r>
        <w:t xml:space="preserve"> уд№</w:t>
      </w:r>
      <w:r>
        <w:rPr>
          <w:rFonts w:hint="default"/>
          <w:lang w:val="en-US"/>
        </w:rPr>
        <w:t xml:space="preserve">{customer.clientIdNumber}</w:t>
      </w:r>
      <w:r>
        <w:rPr>
          <w:rFonts w:hint="default"/>
          <w:lang w:val="ru-RU"/>
        </w:rPr>
        <w:t xml:space="preserve"> </w:t>
      </w:r>
      <w:r>
        <w:t xml:space="preserve">от </w:t>
      </w:r>
      <w:r>
        <w:rPr>
          <w:lang w:val="en-US"/>
        </w:rPr>
        <w:t xml:space="preserve">{customer.clientIdDateFrom}</w:t>
      </w:r>
      <w:r>
        <w:t xml:space="preserve">г </w:t>
      </w:r>
      <w:r>
        <w:rPr>
          <w:rFonts w:hint="default"/>
          <w:lang w:val="en-US"/>
        </w:rPr>
        <w:t xml:space="preserve">{customer.clientIdType}</w:t>
      </w:r>
      <w:r>
        <w:rPr>
          <w:rFonts w:hint="default"/>
          <w:lang w:val="ru-RU"/>
        </w:rPr>
        <w:t xml:space="preserve"> </w:t>
      </w:r>
      <w:r>
        <w:t xml:space="preserve">именуемый (ая) в дальнейшем «Арендатор», с другой стороны заключили настоящий договор о нижеследующем:</w:t>
      </w:r>
      <w:r/>
    </w:p>
    <w:p w14:paraId="1EE66FC7">
      <w:pPr>
        <w:pStyle w:val="901"/>
        <w:numPr>
          <w:ilvl w:val="0"/>
          <w:numId w:val="1"/>
        </w:numPr>
        <w:pBdr/>
        <w:shd w:val="clear" w:color="auto" w:fill="auto"/>
        <w:tabs>
          <w:tab w:val="left" w:leader="none" w:pos="274"/>
        </w:tabs>
        <w:spacing w:after="0" w:before="0" w:line="240" w:lineRule="exact"/>
        <w:ind w:right="240" w:left="40"/>
        <w:rPr>
          <w:rStyle w:val="904"/>
          <w:b w:val="0"/>
          <w:bCs w:val="0"/>
        </w:rPr>
      </w:pPr>
      <w:r>
        <w:t xml:space="preserve">Согласно настоящему договору Арендодатель предоставляет гостиничные услуги с </w:t>
      </w:r>
      <w:r>
        <w:rPr>
          <w:b/>
          <w:bCs/>
          <w:lang w:val="en-US"/>
        </w:rPr>
        <w:t xml:space="preserve">{formattedDateFrom}</w:t>
      </w:r>
      <w:r>
        <w:rPr>
          <w:b/>
        </w:rPr>
        <w:t xml:space="preserve"> </w:t>
      </w:r>
      <w:r>
        <w:t xml:space="preserve">по </w:t>
      </w:r>
      <w:r>
        <w:rPr>
          <w:b/>
          <w:lang w:val="en-US"/>
        </w:rPr>
        <w:t xml:space="preserve">{formattedDateTo}</w:t>
      </w:r>
      <w:r>
        <w:rPr>
          <w:b/>
        </w:rPr>
        <w:t xml:space="preserve"> </w:t>
      </w:r>
      <w:r>
        <w:t xml:space="preserve">включительно по адресу: </w:t>
      </w:r>
      <w:r>
        <w:rPr>
          <w:b/>
        </w:rPr>
        <w:t xml:space="preserve">п.Жанаарка ул. </w:t>
      </w:r>
      <w:r>
        <w:rPr>
          <w:b/>
          <w:lang w:val="en-US"/>
        </w:rPr>
        <w:t xml:space="preserve">{</w:t>
      </w:r>
      <w:r>
        <w:rPr>
          <w:b/>
          <w:lang w:val="en-US"/>
        </w:rPr>
        <w:t xml:space="preserve">documentAddress</w:t>
      </w:r>
      <w:r>
        <w:rPr>
          <w:b/>
          <w:lang w:val="en-US"/>
        </w:rPr>
        <w:t xml:space="preserve">}</w:t>
      </w:r>
      <w:r>
        <w:rPr>
          <w:b/>
        </w:rPr>
        <w:t xml:space="preserve"> </w:t>
      </w:r>
      <w:r>
        <w:rPr>
          <w:rStyle w:val="904"/>
          <w:b w:val="0"/>
          <w:bCs w:val="0"/>
        </w:rPr>
      </w:r>
      <w:r>
        <w:rPr>
          <w:rStyle w:val="904"/>
          <w:b w:val="0"/>
          <w:bCs w:val="0"/>
        </w:rPr>
      </w:r>
    </w:p>
    <w:p w14:paraId="4B23F61E">
      <w:pPr>
        <w:pStyle w:val="901"/>
        <w:numPr>
          <w:ilvl w:val="0"/>
          <w:numId w:val="1"/>
        </w:numPr>
        <w:pBdr/>
        <w:shd w:val="clear" w:color="auto" w:fill="auto"/>
        <w:tabs>
          <w:tab w:val="left" w:leader="none" w:pos="274"/>
        </w:tabs>
        <w:spacing w:after="0" w:before="0" w:line="240" w:lineRule="exact"/>
        <w:ind w:right="240" w:left="40"/>
        <w:rPr/>
      </w:pPr>
      <w:r>
        <w:rPr>
          <w:rStyle w:val="904"/>
        </w:rPr>
        <w:t xml:space="preserve"> </w:t>
      </w:r>
      <w:r>
        <w:t xml:space="preserve">Арендодатель обязуется:</w:t>
      </w:r>
      <w:r/>
    </w:p>
    <w:p w14:paraId="4070A21D">
      <w:pPr>
        <w:pStyle w:val="901"/>
        <w:numPr>
          <w:ilvl w:val="0"/>
          <w:numId w:val="2"/>
        </w:numPr>
        <w:pBdr/>
        <w:shd w:val="clear" w:color="auto" w:fill="auto"/>
        <w:tabs>
          <w:tab w:val="left" w:leader="none" w:pos="274"/>
        </w:tabs>
        <w:spacing w:after="0" w:before="0" w:line="240" w:lineRule="exact"/>
        <w:ind w:left="40"/>
        <w:rPr/>
      </w:pPr>
      <w:r>
        <w:t xml:space="preserve">Передать Арендатору арендуемое помещение в состоянии пригодном для проживания.</w:t>
      </w:r>
      <w:r/>
    </w:p>
    <w:p w14:paraId="45285E0D">
      <w:pPr>
        <w:pStyle w:val="901"/>
        <w:numPr>
          <w:ilvl w:val="0"/>
          <w:numId w:val="2"/>
        </w:numPr>
        <w:pBdr/>
        <w:shd w:val="clear" w:color="auto" w:fill="auto"/>
        <w:tabs>
          <w:tab w:val="left" w:leader="none" w:pos="274"/>
        </w:tabs>
        <w:spacing w:after="288" w:before="0" w:line="240" w:lineRule="exact"/>
        <w:ind w:left="40"/>
        <w:rPr/>
      </w:pPr>
      <w:r>
        <w:t xml:space="preserve">Принять номер после прекращения действия настоящего Договора.</w:t>
      </w:r>
      <w:r/>
    </w:p>
    <w:p w14:paraId="49D1559B">
      <w:pPr>
        <w:pStyle w:val="903"/>
        <w:numPr>
          <w:ilvl w:val="0"/>
          <w:numId w:val="2"/>
        </w:numPr>
        <w:pBdr/>
        <w:shd w:val="clear" w:color="auto" w:fill="auto"/>
        <w:tabs>
          <w:tab w:val="left" w:leader="none" w:pos="274"/>
        </w:tabs>
        <w:spacing w:after="0" w:line="240" w:lineRule="exact"/>
        <w:ind w:left="40"/>
        <w:jc w:val="both"/>
        <w:rPr/>
      </w:pPr>
      <w:r>
        <w:t xml:space="preserve">Арендатор обязуется</w:t>
      </w:r>
      <w:r/>
    </w:p>
    <w:p w14:paraId="701F7278">
      <w:pPr>
        <w:pStyle w:val="901"/>
        <w:pBdr/>
        <w:shd w:val="clear" w:color="auto" w:fill="auto"/>
        <w:spacing w:after="0" w:before="0" w:line="240" w:lineRule="exact"/>
        <w:ind w:left="40"/>
        <w:rPr/>
      </w:pPr>
      <w:r>
        <w:t xml:space="preserve">3.1 Содержать арендуемую площадь в порядке, предусмотренном санитарными, противопожарными и иными нормами установленными действующим законодательством РК.</w:t>
      </w:r>
      <w:r/>
    </w:p>
    <w:p w14:paraId="248E4FF9">
      <w:pPr>
        <w:pStyle w:val="901"/>
        <w:pBdr/>
        <w:shd w:val="clear" w:color="auto" w:fill="auto"/>
        <w:spacing w:after="0" w:before="0" w:line="240" w:lineRule="exact"/>
        <w:ind w:left="40"/>
        <w:rPr/>
      </w:pPr>
      <w:r>
        <w:t xml:space="preserve">3.2. В случае нанесения ущерба арендуемой площади и имуществу, находящемуся в ней, Арендатор обязуется возместить Арендодателю причиненный ущерб. </w:t>
      </w:r>
      <w:r/>
    </w:p>
    <w:p w14:paraId="00B7CC1B">
      <w:pPr>
        <w:pStyle w:val="903"/>
        <w:pBdr/>
        <w:shd w:val="clear" w:color="auto" w:fill="auto"/>
        <w:spacing w:after="0" w:line="240" w:lineRule="exact"/>
        <w:ind/>
        <w:jc w:val="left"/>
        <w:rPr/>
      </w:pPr>
      <w:r>
        <w:t xml:space="preserve">4. Порядок расчета: </w:t>
      </w:r>
      <w:r/>
    </w:p>
    <w:p w14:paraId="455FD92B">
      <w:pPr>
        <w:pStyle w:val="903"/>
        <w:pBdr/>
        <w:shd w:val="clear" w:color="auto" w:fill="auto"/>
        <w:spacing w:after="0" w:line="240" w:lineRule="exact"/>
        <w:ind w:left="0"/>
        <w:jc w:val="left"/>
        <w:rPr>
          <w:b w:val="0"/>
        </w:rPr>
      </w:pPr>
      <w:r>
        <w:rPr>
          <w:b w:val="0"/>
        </w:rPr>
        <w:t xml:space="preserve">4.1. Общая сумма настоящего Договора составляет </w:t>
      </w:r>
      <w:r>
        <w:rPr>
          <w:b w:val="0"/>
          <w:lang w:val="en-US"/>
        </w:rPr>
        <w:t xml:space="preserve">{total</w:t>
      </w:r>
      <w:r>
        <w:rPr>
          <w:b w:val="0"/>
          <w:lang w:val="en-US"/>
        </w:rPr>
        <w:t xml:space="preserve">Cost}</w:t>
      </w:r>
      <w:r>
        <w:rPr>
          <w:b w:val="0"/>
        </w:rPr>
        <w:t xml:space="preserve"> тг (</w:t>
      </w:r>
      <w:r>
        <w:rPr>
          <w:b w:val="0"/>
          <w:lang w:val="en-US"/>
        </w:rPr>
        <w:t xml:space="preserve">{totalCostRu}</w:t>
      </w:r>
      <w:r>
        <w:rPr>
          <w:b w:val="0"/>
        </w:rPr>
        <w:t xml:space="preserve"> тенге</w:t>
      </w:r>
      <w:r>
        <w:rPr>
          <w:b w:val="0"/>
          <w:lang w:val="en-US"/>
        </w:rPr>
        <w:t xml:space="preserve">{totalCostCents}</w:t>
      </w:r>
      <w:r>
        <w:rPr>
          <w:b w:val="0"/>
        </w:rPr>
        <w:t xml:space="preserve"> тиын), из расчета </w:t>
      </w:r>
      <w:r>
        <w:rPr>
          <w:b w:val="0"/>
          <w:lang w:val="en-US"/>
        </w:rPr>
        <w:t xml:space="preserve">{</w:t>
      </w:r>
      <w:r>
        <w:rPr>
          <w:b w:val="0"/>
          <w:lang w:val="en-US"/>
        </w:rPr>
        <w:t xml:space="preserve">customer.organization</w:t>
      </w:r>
      <w:r>
        <w:rPr>
          <w:b w:val="0"/>
          <w:lang w:val="en-US"/>
        </w:rPr>
        <w:t xml:space="preserve">.costPerDay}</w:t>
      </w:r>
      <w:r>
        <w:rPr>
          <w:b w:val="0"/>
        </w:rPr>
        <w:t xml:space="preserve"> тг (</w:t>
      </w:r>
      <w:r>
        <w:rPr>
          <w:b w:val="0"/>
          <w:lang w:val="en-US"/>
        </w:rPr>
        <w:t xml:space="preserve">{</w:t>
      </w:r>
      <w:r>
        <w:rPr>
          <w:b w:val="0"/>
          <w:lang w:val="en-US"/>
        </w:rPr>
        <w:t xml:space="preserve">costPerDayRu</w:t>
      </w:r>
      <w:r>
        <w:rPr>
          <w:b w:val="0"/>
          <w:lang w:val="en-US"/>
        </w:rPr>
        <w:t xml:space="preserve">}</w:t>
      </w:r>
      <w:r>
        <w:rPr>
          <w:b w:val="0"/>
        </w:rPr>
        <w:t xml:space="preserve"> тенге</w:t>
      </w:r>
      <w:r>
        <w:rPr>
          <w:b w:val="0"/>
          <w:lang w:val="en-US"/>
        </w:rPr>
        <w:t xml:space="preserve">{costPerDayCents}</w:t>
      </w:r>
      <w:r>
        <w:rPr>
          <w:b w:val="0"/>
        </w:rPr>
        <w:t xml:space="preserve"> тиын) в сутки.</w:t>
      </w:r>
      <w:r>
        <w:rPr>
          <w:b w:val="0"/>
        </w:rPr>
      </w:r>
      <w:r>
        <w:rPr>
          <w:b w:val="0"/>
        </w:rPr>
      </w:r>
    </w:p>
    <w:p w14:paraId="43B9D424">
      <w:pPr>
        <w:pBdr/>
        <w:spacing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4.2. Форма оплаты</w:t>
      </w:r>
      <w:r>
        <w:rPr>
          <w:rFonts w:ascii="Times New Roman" w:hAnsi="Times New Roman" w:cs="Times New Roman"/>
          <w:b/>
        </w:rPr>
        <w:t xml:space="preserve">: наличный расчет. 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2DAE6B58">
      <w:pPr>
        <w:pBdr/>
        <w:spacing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 Срок действия Договора: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33B8A2EE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5.1. Настоящий Договор вступает в силу с момента его подписания и действует в течение всего срока аренды номера.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52898F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5.2. Договор составлен и подписан в 2 (двух) экземплярах для каждой из сторон, при этом все экземпляры имеют равную юридическую силу.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1ED957">
      <w:pPr>
        <w:pBdr/>
        <w:spacing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6. Порядок рассмотрения споров.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184DF4E4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6.1. Все споры между сторонами, связанные с настоящим Договором, решаются путем взаимных переговоров.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844C65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6.2. В случае невозможности их разрешения переговорным путем они будут рассмотрены в соответствии с Законодательством Республики Казахстан.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233C46">
      <w:pPr>
        <w:pBdr/>
        <w:spacing/>
        <w:ind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7. </w:t>
      </w:r>
      <w:r>
        <w:rPr>
          <w:rFonts w:ascii="Times New Roman" w:hAnsi="Times New Roman" w:cs="Times New Roman"/>
          <w:b/>
          <w:bCs/>
        </w:rPr>
        <w:t xml:space="preserve">Адреса, реквизиты и подписи Сторон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2B598F79">
      <w:pPr>
        <w:pBdr/>
        <w:spacing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tbl>
      <w:tblPr>
        <w:tblStyle w:val="890"/>
        <w:tblInd w:w="0" w:type="dxa"/>
        <w:tblW w:w="9671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pPr w:horzAnchor="margin" w:tblpX="108" w:vertAnchor="text" w:tblpY="394" w:leftFromText="180" w:topFromText="0" w:rightFromText="180" w:bottomFromText="0"/>
        <w:tblLook w:val="04A0" w:firstRow="1" w:lastRow="0" w:firstColumn="1" w:lastColumn="0" w:noHBand="0" w:noVBand="1"/>
      </w:tblPr>
      <w:tblGrid>
        <w:gridCol w:w="5063"/>
        <w:gridCol w:w="4608"/>
      </w:tblGrid>
      <w:tr>
        <w:trPr>
          <w:trHeight w:val="1655"/>
        </w:trPr>
        <w:tc>
          <w:tcPr>
            <w:tcBorders/>
            <w:tcW w:w="5063" w:type="dxa"/>
          </w:tcPr>
          <w:p w14:paraId="04E92D66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Арендодатель: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470BD313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ИП «XANSHA»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128729A2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Рыспаева Гаухар Сериковна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08B7C326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Регистрация: РК Жанааркинского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0C62EC43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района. п.Жанаарка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52EDA32E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Свидетельство о государственной регистрации индивидуального предпринимателя, входящий регистрационный номер уведомления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7B946720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KZ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29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TWQ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00218744 от 04.02.2013г.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00D35857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ИИН:720128450445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МП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1AC7C1EF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Тел:87009907275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4BA6FC69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3F2C7163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00022F2F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Подпись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45E0DB86"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--------------/--------------------------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63E71BD0">
            <w:pPr>
              <w:pBdr/>
              <w:spacing/>
              <w:ind w:right="7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4608" w:type="dxa"/>
          </w:tcPr>
          <w:p w14:paraId="0285CEBA">
            <w:pPr>
              <w:pBdr/>
              <w:spacing/>
              <w:ind w:right="322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Арендаторы: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4ABAB428">
            <w:pPr>
              <w:pBdr/>
              <w:spacing/>
              <w:ind w:right="72" w:hanging="500" w:left="500"/>
              <w:jc w:val="left"/>
              <w:rPr>
                <w:rFonts w:hint="default" w:ascii="Times New Roman" w:hAnsi="Times New Roman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          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}</w:t>
            </w:r>
            <w:r>
              <w:rPr>
                <w:rFonts w:hint="default" w:ascii="Times New Roman" w:hAnsi="Times New Roman"/>
                <w:b/>
                <w:bCs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Times New Roman" w:hAnsi="Times New Roman"/>
                <w:b/>
                <w:bCs/>
                <w:sz w:val="20"/>
                <w:szCs w:val="20"/>
                <w:highlight w:val="none"/>
                <w:lang w:val="en-US"/>
              </w:rPr>
            </w:r>
          </w:p>
          <w:p w14:paraId="5DAB13C6">
            <w:pPr>
              <w:pBdr/>
              <w:spacing/>
              <w:ind w:right="72" w:hanging="500" w:left="50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highlight w:val="none"/>
                <w:lang w:val="ru-RU"/>
              </w:rPr>
              <w:t xml:space="preserve">          г</w:t>
            </w:r>
            <w:r>
              <w:rPr>
                <w:rFonts w:hint="default" w:ascii="Times New Roman" w:hAnsi="Times New Roman"/>
                <w:b/>
                <w:sz w:val="20"/>
                <w:szCs w:val="20"/>
                <w:highlight w:val="none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city}, 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index}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r>
          </w:p>
          <w:p w14:paraId="72AAF113">
            <w:pPr>
              <w:pBdr/>
              <w:spacing/>
              <w:ind w:right="72" w:hanging="500" w:left="50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  {customer.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.address}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 лице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{customer.fullnameClient}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уд№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{customer.clientIdNumber}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от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{customer.clientIdDateFrom}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г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{customer.clientIdType}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  <w:p w14:paraId="5344E866">
            <w:pPr>
              <w:pBdr/>
              <w:spacing/>
              <w:ind w:right="72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ИИН: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{customer.iin}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 w14:paraId="69B3C9C4">
            <w:pPr>
              <w:pBdr/>
              <w:spacing/>
              <w:ind w:right="7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 w14:paraId="5BF67048">
            <w:pPr>
              <w:pBdr/>
              <w:spacing/>
              <w:ind w:right="7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 w14:paraId="5EDBDD7B">
            <w:pPr>
              <w:pBdr/>
              <w:spacing/>
              <w:ind w:right="-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Подпись                               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70AC6400">
            <w:pPr>
              <w:pBdr/>
              <w:spacing/>
              <w:ind w:right="322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--------------/----------------------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</w:tr>
    </w:tbl>
    <w:p w14:paraId="2A118F66">
      <w:pPr>
        <w:pStyle w:val="903"/>
        <w:pBdr/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sectPr>
      <w:footnotePr/>
      <w:endnotePr/>
      <w:type w:val="continuous"/>
      <w:pgSz w:h="16838" w:orient="portrait" w:w="11909"/>
      <w:pgMar w:top="2272" w:right="1142" w:bottom="2267" w:left="1172" w:header="0" w:footer="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Courier New">
    <w:panose1 w:val="02070409020205020404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ED68FC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lang w:val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3A3E1905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lang w:val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3"/>
    <w:basedOn w:val="886"/>
    <w:next w:val="886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6"/>
    <w:next w:val="886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6"/>
    <w:next w:val="886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6"/>
    <w:next w:val="886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6"/>
    <w:next w:val="886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6"/>
    <w:next w:val="886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6"/>
    <w:next w:val="886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89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6"/>
    <w:next w:val="886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6"/>
    <w:next w:val="886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6"/>
    <w:next w:val="886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6"/>
    <w:next w:val="886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9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4">
    <w:name w:val="Header Char"/>
    <w:basedOn w:val="889"/>
    <w:link w:val="893"/>
    <w:uiPriority w:val="99"/>
    <w:pPr>
      <w:pBdr/>
      <w:spacing/>
      <w:ind/>
    </w:pPr>
  </w:style>
  <w:style w:type="character" w:styleId="865">
    <w:name w:val="Footer Char"/>
    <w:basedOn w:val="889"/>
    <w:link w:val="894"/>
    <w:uiPriority w:val="99"/>
    <w:pPr>
      <w:pBdr/>
      <w:spacing/>
      <w:ind/>
    </w:pPr>
  </w:style>
  <w:style w:type="paragraph" w:styleId="866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6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6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uiPriority w:val="0"/>
    <w:pPr>
      <w:widowControl w:val="false"/>
      <w:pBdr/>
      <w:spacing/>
      <w:ind/>
    </w:pPr>
    <w:rPr>
      <w:rFonts w:ascii="Courier New" w:hAnsi="Courier New" w:eastAsia="Courier New" w:cs="Courier New"/>
      <w:color w:val="000000"/>
      <w:sz w:val="24"/>
      <w:szCs w:val="24"/>
      <w:lang w:val="ru-RU" w:eastAsia="ru-RU" w:bidi="ar-SA"/>
    </w:rPr>
  </w:style>
  <w:style w:type="paragraph" w:styleId="887">
    <w:name w:val="Heading 1"/>
    <w:basedOn w:val="886"/>
    <w:next w:val="886"/>
    <w:link w:val="909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888">
    <w:name w:val="Heading 2"/>
    <w:basedOn w:val="886"/>
    <w:next w:val="886"/>
    <w:link w:val="908"/>
    <w:uiPriority w:val="9"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styleId="889" w:default="1">
    <w:name w:val="Default Paragraph Font"/>
    <w:uiPriority w:val="1"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1">
    <w:name w:val="Hyperlink"/>
    <w:basedOn w:val="889"/>
    <w:uiPriority w:val="0"/>
    <w:pPr>
      <w:pBdr/>
      <w:spacing/>
      <w:ind/>
    </w:pPr>
    <w:rPr>
      <w:color w:val="0066cc"/>
      <w:u w:val="single"/>
    </w:rPr>
  </w:style>
  <w:style w:type="paragraph" w:styleId="892">
    <w:name w:val="Balloon Text"/>
    <w:basedOn w:val="886"/>
    <w:link w:val="907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paragraph" w:styleId="893">
    <w:name w:val="Header"/>
    <w:basedOn w:val="886"/>
    <w:link w:val="905"/>
    <w:uiPriority w:val="99"/>
    <w:semiHidden/>
    <w:unhideWhenUsed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94">
    <w:name w:val="Footer"/>
    <w:basedOn w:val="886"/>
    <w:link w:val="906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95" w:customStyle="1">
    <w:name w:val="Заголовок №1_"/>
    <w:basedOn w:val="889"/>
    <w:link w:val="896"/>
    <w:uiPriority w:val="0"/>
    <w:pPr>
      <w:pBdr/>
      <w:spacing/>
      <w:ind/>
    </w:pPr>
    <w:rPr>
      <w:rFonts w:ascii="Times New Roman" w:hAnsi="Times New Roman" w:eastAsia="Times New Roman" w:cs="Times New Roman"/>
      <w:b/>
      <w:bCs/>
      <w:sz w:val="32"/>
      <w:szCs w:val="32"/>
      <w:u w:val="none"/>
    </w:rPr>
  </w:style>
  <w:style w:type="paragraph" w:styleId="896" w:customStyle="1">
    <w:name w:val="Заголовок №1"/>
    <w:basedOn w:val="886"/>
    <w:link w:val="895"/>
    <w:uiPriority w:val="0"/>
    <w:qFormat/>
    <w:pPr>
      <w:pBdr/>
      <w:shd w:val="clear" w:color="auto" w:fill="ffffff"/>
      <w:spacing w:line="0" w:lineRule="atLeast"/>
      <w:ind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897" w:customStyle="1">
    <w:name w:val="Основной текст (2) Exact"/>
    <w:basedOn w:val="889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bCs/>
      <w:spacing w:val="-1"/>
      <w:sz w:val="23"/>
      <w:szCs w:val="23"/>
      <w:u w:val="none"/>
    </w:rPr>
  </w:style>
  <w:style w:type="character" w:styleId="898" w:customStyle="1">
    <w:name w:val="Основной текст Exact"/>
    <w:basedOn w:val="889"/>
    <w:uiPriority w:val="0"/>
    <w:pPr>
      <w:pBdr/>
      <w:spacing/>
      <w:ind/>
    </w:pPr>
    <w:rPr>
      <w:rFonts w:ascii="Times New Roman" w:hAnsi="Times New Roman" w:eastAsia="Times New Roman" w:cs="Times New Roman"/>
      <w:spacing w:val="-1"/>
      <w:sz w:val="23"/>
      <w:szCs w:val="23"/>
      <w:u w:val="none"/>
    </w:rPr>
  </w:style>
  <w:style w:type="character" w:styleId="899" w:customStyle="1">
    <w:name w:val="Основной текст + Полужирный Exact"/>
    <w:basedOn w:val="900"/>
    <w:uiPriority w:val="0"/>
    <w:pPr>
      <w:pBdr/>
      <w:spacing/>
      <w:ind/>
    </w:pPr>
    <w:rPr>
      <w:rFonts w:ascii="Times New Roman" w:hAnsi="Times New Roman" w:eastAsia="Times New Roman" w:cs="Times New Roman"/>
      <w:b/>
      <w:bCs/>
      <w:spacing w:val="-1"/>
      <w:sz w:val="23"/>
      <w:szCs w:val="23"/>
      <w:u w:val="none"/>
    </w:rPr>
  </w:style>
  <w:style w:type="character" w:styleId="900" w:customStyle="1">
    <w:name w:val="Основной текст_"/>
    <w:basedOn w:val="889"/>
    <w:link w:val="901"/>
    <w:uiPriority w:val="0"/>
    <w:qFormat/>
    <w:pPr>
      <w:pBdr/>
      <w:spacing/>
      <w:ind/>
    </w:pPr>
    <w:rPr>
      <w:rFonts w:ascii="Times New Roman" w:hAnsi="Times New Roman" w:eastAsia="Times New Roman" w:cs="Times New Roman"/>
      <w:u w:val="none"/>
    </w:rPr>
  </w:style>
  <w:style w:type="paragraph" w:styleId="901" w:customStyle="1">
    <w:name w:val="Основной текст1"/>
    <w:basedOn w:val="886"/>
    <w:link w:val="900"/>
    <w:uiPriority w:val="0"/>
    <w:qFormat/>
    <w:pPr>
      <w:pBdr/>
      <w:shd w:val="clear" w:color="auto" w:fill="ffffff"/>
      <w:spacing w:after="180" w:before="600" w:line="281" w:lineRule="exact"/>
      <w:ind/>
      <w:jc w:val="both"/>
    </w:pPr>
    <w:rPr>
      <w:rFonts w:ascii="Times New Roman" w:hAnsi="Times New Roman" w:eastAsia="Times New Roman" w:cs="Times New Roman"/>
    </w:rPr>
  </w:style>
  <w:style w:type="character" w:styleId="902" w:customStyle="1">
    <w:name w:val="Основной текст (2)_"/>
    <w:basedOn w:val="889"/>
    <w:link w:val="903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bCs/>
      <w:u w:val="none"/>
    </w:rPr>
  </w:style>
  <w:style w:type="paragraph" w:styleId="903" w:customStyle="1">
    <w:name w:val="Основной текст (2)"/>
    <w:basedOn w:val="886"/>
    <w:link w:val="902"/>
    <w:uiPriority w:val="0"/>
    <w:qFormat/>
    <w:pPr>
      <w:pBdr/>
      <w:shd w:val="clear" w:color="auto" w:fill="ffffff"/>
      <w:spacing w:after="600" w:line="0" w:lineRule="atLeast"/>
      <w:ind/>
      <w:jc w:val="right"/>
    </w:pPr>
    <w:rPr>
      <w:rFonts w:ascii="Times New Roman" w:hAnsi="Times New Roman" w:eastAsia="Times New Roman" w:cs="Times New Roman"/>
      <w:b/>
      <w:bCs/>
    </w:rPr>
  </w:style>
  <w:style w:type="character" w:styleId="904" w:customStyle="1">
    <w:name w:val="Основной текст + Полужирный"/>
    <w:basedOn w:val="900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pacing w:val="0"/>
      <w:position w:val="0"/>
      <w:sz w:val="24"/>
      <w:szCs w:val="24"/>
      <w:u w:val="none"/>
      <w:lang w:val="ru-RU"/>
    </w:rPr>
  </w:style>
  <w:style w:type="character" w:styleId="905" w:customStyle="1">
    <w:name w:val="Верхний колонтитул Знак"/>
    <w:basedOn w:val="889"/>
    <w:link w:val="893"/>
    <w:uiPriority w:val="99"/>
    <w:semiHidden/>
    <w:qFormat/>
    <w:pPr>
      <w:pBdr/>
      <w:spacing/>
      <w:ind/>
    </w:pPr>
    <w:rPr>
      <w:color w:val="000000"/>
    </w:rPr>
  </w:style>
  <w:style w:type="character" w:styleId="906" w:customStyle="1">
    <w:name w:val="Нижний колонтитул Знак"/>
    <w:basedOn w:val="889"/>
    <w:link w:val="894"/>
    <w:uiPriority w:val="99"/>
    <w:semiHidden/>
    <w:qFormat/>
    <w:pPr>
      <w:pBdr/>
      <w:spacing/>
      <w:ind/>
    </w:pPr>
    <w:rPr>
      <w:color w:val="000000"/>
    </w:rPr>
  </w:style>
  <w:style w:type="character" w:styleId="907" w:customStyle="1">
    <w:name w:val="Текст выноски Знак"/>
    <w:basedOn w:val="889"/>
    <w:link w:val="892"/>
    <w:uiPriority w:val="99"/>
    <w:semiHidden/>
    <w:qFormat/>
    <w:pPr>
      <w:pBdr/>
      <w:spacing/>
      <w:ind/>
    </w:pPr>
    <w:rPr>
      <w:rFonts w:ascii="Tahoma" w:hAnsi="Tahoma" w:cs="Tahoma"/>
      <w:color w:val="000000"/>
      <w:sz w:val="16"/>
      <w:szCs w:val="16"/>
    </w:rPr>
  </w:style>
  <w:style w:type="character" w:styleId="908" w:customStyle="1">
    <w:name w:val="Заголовок 2 Знак"/>
    <w:basedOn w:val="889"/>
    <w:link w:val="888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styleId="909" w:customStyle="1">
    <w:name w:val="Заголовок 1 Знак"/>
    <w:basedOn w:val="889"/>
    <w:link w:val="887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910">
    <w:name w:val="No Spacing"/>
    <w:uiPriority w:val="1"/>
    <w:qFormat/>
    <w:pPr>
      <w:widowControl w:val="false"/>
      <w:pBdr/>
      <w:spacing/>
      <w:ind/>
    </w:pPr>
    <w:rPr>
      <w:rFonts w:ascii="Courier New" w:hAnsi="Courier New" w:eastAsia="Courier New" w:cs="Courier New"/>
      <w:color w:val="000000"/>
      <w:sz w:val="24"/>
      <w:szCs w:val="24"/>
      <w:lang w:val="ru-RU"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3D2FFC31-F667-45FB-A96D-FFB3D58BEFA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Reanimator Extreme Edition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502</cp:revision>
  <dcterms:created xsi:type="dcterms:W3CDTF">2013-08-27T12:48:00Z</dcterms:created>
  <dcterms:modified xsi:type="dcterms:W3CDTF">2026-09-19T15:07:58Z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B5FF73AE62F64A8DA216804F8058C1B4_12</vt:lpwstr>
  </property>
</Properties>
</file>