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08149" w14:textId="77777777" w:rsidR="00AA3E06" w:rsidRDefault="00AA3E06" w:rsidP="00AA3E06">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t>Table of Appendices</w:t>
      </w:r>
    </w:p>
    <w:p w14:paraId="491CCB79" w14:textId="3D93A4B6" w:rsidR="00AA3E06" w:rsidRPr="007E24AE" w:rsidRDefault="00AA3E06" w:rsidP="007E24AE">
      <w:pPr>
        <w:autoSpaceDE w:val="0"/>
        <w:autoSpaceDN w:val="0"/>
        <w:adjustRightInd w:val="0"/>
        <w:spacing w:after="240" w:line="288" w:lineRule="auto"/>
        <w:rPr>
          <w:rFonts w:cs="Times-Roman"/>
          <w:kern w:val="0"/>
        </w:rPr>
      </w:pPr>
      <w:r w:rsidRPr="007E24AE">
        <w:rPr>
          <w:rFonts w:cs="Times-Roman"/>
          <w:kern w:val="0"/>
        </w:rPr>
        <w:t xml:space="preserve">This table provides a comprehensive catalog of the supporting appendices for </w:t>
      </w:r>
      <w:r w:rsidRPr="007E24AE">
        <w:rPr>
          <w:rFonts w:cs="Times-Italic"/>
          <w:i/>
          <w:iCs/>
          <w:kern w:val="0"/>
        </w:rPr>
        <w:t>Atlas PALM v1.5</w:t>
      </w:r>
      <w:r w:rsidRPr="007E24AE">
        <w:rPr>
          <w:rFonts w:cs="Times-Roman"/>
          <w:kern w:val="0"/>
        </w:rPr>
        <w:t>, enabling the development team</w:t>
      </w:r>
      <w:r w:rsidR="003C7CBA">
        <w:rPr>
          <w:rFonts w:cs="Times-Roman"/>
          <w:kern w:val="0"/>
        </w:rPr>
        <w:t xml:space="preserve"> </w:t>
      </w:r>
      <w:r w:rsidRPr="007E24AE">
        <w:rPr>
          <w:rFonts w:cs="Times-Roman"/>
          <w:kern w:val="0"/>
        </w:rPr>
        <w:t xml:space="preserve">to navigate the technical, operational, and ethical resources underpinning the Atlas Insight Engine. Each appendix is referenced across Sections I–XI, enhancing the platform’s robustness and empowering developers to implement, test, and extend the system. The table below lists each appendix, its title, description, content type, and associated sections, aligning with the user-as-hero narrative by equipping developers to deliver a transformative cannabis exploration experience. </w:t>
      </w:r>
    </w:p>
    <w:tbl>
      <w:tblPr>
        <w:tblW w:w="5000" w:type="pct"/>
        <w:tblBorders>
          <w:insideH w:val="single" w:sz="4" w:space="0" w:color="auto"/>
        </w:tblBorders>
        <w:tblLayout w:type="fixed"/>
        <w:tblLook w:val="0000" w:firstRow="0" w:lastRow="0" w:firstColumn="0" w:lastColumn="0" w:noHBand="0" w:noVBand="0"/>
      </w:tblPr>
      <w:tblGrid>
        <w:gridCol w:w="1134"/>
        <w:gridCol w:w="1576"/>
        <w:gridCol w:w="3950"/>
        <w:gridCol w:w="1391"/>
        <w:gridCol w:w="1309"/>
      </w:tblGrid>
      <w:tr w:rsidR="007E24AE" w14:paraId="5FDE2D95" w14:textId="77777777" w:rsidTr="007E24AE">
        <w:tc>
          <w:tcPr>
            <w:tcW w:w="606" w:type="pct"/>
            <w:tcMar>
              <w:top w:w="20" w:type="nil"/>
              <w:left w:w="58" w:type="dxa"/>
              <w:bottom w:w="20" w:type="nil"/>
              <w:right w:w="158" w:type="dxa"/>
            </w:tcMar>
          </w:tcPr>
          <w:p w14:paraId="70B6C7D5" w14:textId="344D4C7F" w:rsidR="00AA3E06" w:rsidRPr="007E24AE" w:rsidRDefault="00AA3E06" w:rsidP="00AA3E06">
            <w:pPr>
              <w:autoSpaceDE w:val="0"/>
              <w:autoSpaceDN w:val="0"/>
              <w:adjustRightInd w:val="0"/>
              <w:spacing w:after="0" w:line="240" w:lineRule="auto"/>
              <w:rPr>
                <w:rFonts w:asciiTheme="majorHAnsi" w:hAnsiTheme="majorHAnsi" w:cs="Times-Bold"/>
                <w:b/>
                <w:bCs/>
                <w:kern w:val="0"/>
                <w:sz w:val="22"/>
                <w:szCs w:val="22"/>
              </w:rPr>
            </w:pPr>
            <w:r w:rsidRPr="007E24AE">
              <w:rPr>
                <w:rFonts w:asciiTheme="majorHAnsi" w:hAnsiTheme="majorHAnsi" w:cs="Times-Bold"/>
                <w:b/>
                <w:bCs/>
                <w:kern w:val="0"/>
                <w:sz w:val="22"/>
                <w:szCs w:val="22"/>
              </w:rPr>
              <w:t>Appendix</w:t>
            </w:r>
            <w:r w:rsidR="007E24AE" w:rsidRPr="007E24AE">
              <w:rPr>
                <w:rFonts w:asciiTheme="majorHAnsi" w:hAnsiTheme="majorHAnsi" w:cs="Times-Bold"/>
                <w:b/>
                <w:bCs/>
                <w:kern w:val="0"/>
                <w:sz w:val="22"/>
                <w:szCs w:val="22"/>
              </w:rPr>
              <w:t xml:space="preserve"> </w:t>
            </w:r>
          </w:p>
        </w:tc>
        <w:tc>
          <w:tcPr>
            <w:tcW w:w="842" w:type="pct"/>
            <w:tcMar>
              <w:top w:w="20" w:type="nil"/>
              <w:left w:w="20" w:type="nil"/>
              <w:bottom w:w="20" w:type="nil"/>
              <w:right w:w="20" w:type="nil"/>
            </w:tcMar>
          </w:tcPr>
          <w:p w14:paraId="2F1D1F48" w14:textId="77777777" w:rsidR="00AA3E06" w:rsidRPr="007E24AE" w:rsidRDefault="00AA3E06" w:rsidP="00AA3E06">
            <w:pPr>
              <w:autoSpaceDE w:val="0"/>
              <w:autoSpaceDN w:val="0"/>
              <w:adjustRightInd w:val="0"/>
              <w:spacing w:after="0" w:line="240" w:lineRule="auto"/>
              <w:rPr>
                <w:rFonts w:asciiTheme="majorHAnsi" w:hAnsiTheme="majorHAnsi" w:cs="Times-Bold"/>
                <w:b/>
                <w:bCs/>
                <w:kern w:val="0"/>
                <w:sz w:val="22"/>
                <w:szCs w:val="22"/>
              </w:rPr>
            </w:pPr>
            <w:r w:rsidRPr="007E24AE">
              <w:rPr>
                <w:rFonts w:asciiTheme="majorHAnsi" w:hAnsiTheme="majorHAnsi" w:cs="Times-Bold"/>
                <w:b/>
                <w:bCs/>
                <w:kern w:val="0"/>
                <w:sz w:val="22"/>
                <w:szCs w:val="22"/>
              </w:rPr>
              <w:t>Title</w:t>
            </w:r>
          </w:p>
        </w:tc>
        <w:tc>
          <w:tcPr>
            <w:tcW w:w="2110" w:type="pct"/>
            <w:tcMar>
              <w:top w:w="20" w:type="nil"/>
              <w:left w:w="20" w:type="nil"/>
              <w:bottom w:w="20" w:type="nil"/>
              <w:right w:w="20" w:type="nil"/>
            </w:tcMar>
          </w:tcPr>
          <w:p w14:paraId="0B45CC06" w14:textId="77777777" w:rsidR="00AA3E06" w:rsidRPr="007E24AE" w:rsidRDefault="00AA3E06" w:rsidP="00AA3E06">
            <w:pPr>
              <w:autoSpaceDE w:val="0"/>
              <w:autoSpaceDN w:val="0"/>
              <w:adjustRightInd w:val="0"/>
              <w:spacing w:after="0" w:line="240" w:lineRule="auto"/>
              <w:rPr>
                <w:rFonts w:asciiTheme="majorHAnsi" w:hAnsiTheme="majorHAnsi" w:cs="Times-Bold"/>
                <w:b/>
                <w:bCs/>
                <w:kern w:val="0"/>
                <w:sz w:val="22"/>
                <w:szCs w:val="22"/>
              </w:rPr>
            </w:pPr>
            <w:r w:rsidRPr="007E24AE">
              <w:rPr>
                <w:rFonts w:asciiTheme="majorHAnsi" w:hAnsiTheme="majorHAnsi" w:cs="Times-Bold"/>
                <w:b/>
                <w:bCs/>
                <w:kern w:val="0"/>
                <w:sz w:val="22"/>
                <w:szCs w:val="22"/>
              </w:rPr>
              <w:t>Description</w:t>
            </w:r>
          </w:p>
        </w:tc>
        <w:tc>
          <w:tcPr>
            <w:tcW w:w="743" w:type="pct"/>
            <w:tcMar>
              <w:top w:w="20" w:type="nil"/>
              <w:left w:w="20" w:type="nil"/>
              <w:bottom w:w="20" w:type="nil"/>
              <w:right w:w="20" w:type="nil"/>
            </w:tcMar>
          </w:tcPr>
          <w:p w14:paraId="0FB0C4DF" w14:textId="77777777" w:rsidR="00AA3E06" w:rsidRPr="007E24AE" w:rsidRDefault="00AA3E06" w:rsidP="00AA3E06">
            <w:pPr>
              <w:autoSpaceDE w:val="0"/>
              <w:autoSpaceDN w:val="0"/>
              <w:adjustRightInd w:val="0"/>
              <w:spacing w:after="0" w:line="240" w:lineRule="auto"/>
              <w:rPr>
                <w:rFonts w:asciiTheme="majorHAnsi" w:hAnsiTheme="majorHAnsi" w:cs="Times-Bold"/>
                <w:b/>
                <w:bCs/>
                <w:kern w:val="0"/>
                <w:sz w:val="22"/>
                <w:szCs w:val="22"/>
              </w:rPr>
            </w:pPr>
            <w:r w:rsidRPr="007E24AE">
              <w:rPr>
                <w:rFonts w:asciiTheme="majorHAnsi" w:hAnsiTheme="majorHAnsi" w:cs="Times-Bold"/>
                <w:b/>
                <w:bCs/>
                <w:kern w:val="0"/>
                <w:sz w:val="22"/>
                <w:szCs w:val="22"/>
              </w:rPr>
              <w:t>Content Type</w:t>
            </w:r>
          </w:p>
        </w:tc>
        <w:tc>
          <w:tcPr>
            <w:tcW w:w="700" w:type="pct"/>
            <w:tcMar>
              <w:top w:w="20" w:type="nil"/>
              <w:left w:w="58" w:type="dxa"/>
              <w:bottom w:w="20" w:type="nil"/>
              <w:right w:w="158" w:type="dxa"/>
            </w:tcMar>
          </w:tcPr>
          <w:p w14:paraId="0B7D4574" w14:textId="77777777" w:rsidR="00AA3E06" w:rsidRPr="007E24AE" w:rsidRDefault="00AA3E06" w:rsidP="00AA3E06">
            <w:pPr>
              <w:autoSpaceDE w:val="0"/>
              <w:autoSpaceDN w:val="0"/>
              <w:adjustRightInd w:val="0"/>
              <w:spacing w:after="0" w:line="240" w:lineRule="auto"/>
              <w:rPr>
                <w:rFonts w:asciiTheme="majorHAnsi" w:hAnsiTheme="majorHAnsi" w:cs="Times-Bold"/>
                <w:b/>
                <w:bCs/>
                <w:kern w:val="0"/>
                <w:sz w:val="22"/>
                <w:szCs w:val="22"/>
              </w:rPr>
            </w:pPr>
            <w:r w:rsidRPr="007E24AE">
              <w:rPr>
                <w:rFonts w:asciiTheme="majorHAnsi" w:hAnsiTheme="majorHAnsi" w:cs="Times-Bold"/>
                <w:b/>
                <w:bCs/>
                <w:kern w:val="0"/>
                <w:sz w:val="22"/>
                <w:szCs w:val="22"/>
              </w:rPr>
              <w:t>Associated Sections</w:t>
            </w:r>
          </w:p>
        </w:tc>
      </w:tr>
      <w:tr w:rsidR="007E24AE" w14:paraId="3684FC0A" w14:textId="77777777" w:rsidTr="007E24AE">
        <w:tc>
          <w:tcPr>
            <w:tcW w:w="606" w:type="pct"/>
            <w:tcMar>
              <w:top w:w="20" w:type="nil"/>
              <w:left w:w="20" w:type="nil"/>
              <w:bottom w:w="20" w:type="nil"/>
              <w:right w:w="20" w:type="nil"/>
            </w:tcMar>
          </w:tcPr>
          <w:p w14:paraId="6987A10A"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A</w:t>
            </w:r>
          </w:p>
        </w:tc>
        <w:tc>
          <w:tcPr>
            <w:tcW w:w="842" w:type="pct"/>
            <w:tcMar>
              <w:top w:w="20" w:type="nil"/>
              <w:left w:w="20" w:type="nil"/>
              <w:bottom w:w="20" w:type="nil"/>
              <w:right w:w="20" w:type="nil"/>
            </w:tcMar>
          </w:tcPr>
          <w:p w14:paraId="1339FCC3"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Version Logs</w:t>
            </w:r>
          </w:p>
        </w:tc>
        <w:tc>
          <w:tcPr>
            <w:tcW w:w="2110" w:type="pct"/>
            <w:tcMar>
              <w:top w:w="86" w:type="dxa"/>
              <w:left w:w="115" w:type="dxa"/>
              <w:bottom w:w="86" w:type="dxa"/>
              <w:right w:w="115" w:type="dxa"/>
            </w:tcMar>
          </w:tcPr>
          <w:p w14:paraId="32A28F8B"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Chronicles the version history of Atlas PALM, from v1.0 to v1.5, detailing feature additions, bug fixes, and advancements (e.g., Voice Overlay Integration, Cultural Context Filter). Includes timestamps and contributor notes for traceability. Updated to document the strain library correction (memo, May 4, 2025).</w:t>
            </w:r>
          </w:p>
        </w:tc>
        <w:tc>
          <w:tcPr>
            <w:tcW w:w="743" w:type="pct"/>
            <w:tcMar>
              <w:right w:w="144" w:type="dxa"/>
            </w:tcMar>
          </w:tcPr>
          <w:p w14:paraId="2169A502" w14:textId="19444239"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Text</w:t>
            </w:r>
            <w:r w:rsidR="007E24AE" w:rsidRPr="007E24AE">
              <w:rPr>
                <w:rFonts w:cs="Times-Roman"/>
                <w:kern w:val="0"/>
                <w:sz w:val="22"/>
                <w:szCs w:val="22"/>
              </w:rPr>
              <w:t xml:space="preserve"> </w:t>
            </w:r>
            <w:r w:rsidRPr="007E24AE">
              <w:rPr>
                <w:rFonts w:cs="Times-Roman"/>
                <w:kern w:val="0"/>
                <w:sz w:val="22"/>
                <w:szCs w:val="22"/>
              </w:rPr>
              <w:t>/Markdown</w:t>
            </w:r>
          </w:p>
        </w:tc>
        <w:tc>
          <w:tcPr>
            <w:tcW w:w="700" w:type="pct"/>
            <w:tcMar>
              <w:top w:w="20" w:type="nil"/>
              <w:left w:w="20" w:type="nil"/>
              <w:bottom w:w="20" w:type="nil"/>
              <w:right w:w="20" w:type="nil"/>
            </w:tcMar>
          </w:tcPr>
          <w:p w14:paraId="6CEC0B93"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I, II, III, IV, V, VI, VII, VIII, IX, X, XI</w:t>
            </w:r>
          </w:p>
        </w:tc>
      </w:tr>
      <w:tr w:rsidR="007E24AE" w14:paraId="4D144D6B" w14:textId="77777777" w:rsidTr="007E24AE">
        <w:tc>
          <w:tcPr>
            <w:tcW w:w="606" w:type="pct"/>
            <w:tcMar>
              <w:top w:w="20" w:type="nil"/>
              <w:left w:w="20" w:type="nil"/>
              <w:bottom w:w="20" w:type="nil"/>
              <w:right w:w="20" w:type="nil"/>
            </w:tcMar>
          </w:tcPr>
          <w:p w14:paraId="26C5EC5E"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B</w:t>
            </w:r>
          </w:p>
        </w:tc>
        <w:tc>
          <w:tcPr>
            <w:tcW w:w="842" w:type="pct"/>
            <w:tcMar>
              <w:top w:w="20" w:type="nil"/>
              <w:left w:w="20" w:type="nil"/>
              <w:bottom w:w="20" w:type="nil"/>
              <w:right w:w="20" w:type="nil"/>
            </w:tcMar>
          </w:tcPr>
          <w:p w14:paraId="120998BC"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AI Editing Protocols</w:t>
            </w:r>
          </w:p>
        </w:tc>
        <w:tc>
          <w:tcPr>
            <w:tcW w:w="2110" w:type="pct"/>
            <w:tcMar>
              <w:top w:w="86" w:type="dxa"/>
              <w:left w:w="115" w:type="dxa"/>
              <w:bottom w:w="86" w:type="dxa"/>
              <w:right w:w="115" w:type="dxa"/>
            </w:tcMar>
          </w:tcPr>
          <w:p w14:paraId="15351BD2"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Outlines ethical protocols for AI-generated content, including bias mitigation, privacy compliance (GDPR/CCPA), and monthly audit processes. Details bias detection scripts and transparency guidelines, ensuring responses respect user dignity and cultural humility.</w:t>
            </w:r>
          </w:p>
        </w:tc>
        <w:tc>
          <w:tcPr>
            <w:tcW w:w="743" w:type="pct"/>
            <w:tcMar>
              <w:top w:w="20" w:type="nil"/>
              <w:left w:w="20" w:type="nil"/>
              <w:bottom w:w="20" w:type="nil"/>
              <w:right w:w="144" w:type="dxa"/>
            </w:tcMar>
          </w:tcPr>
          <w:p w14:paraId="3179119F" w14:textId="6AAD30FD"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Text</w:t>
            </w:r>
            <w:r w:rsidR="007E24AE" w:rsidRPr="007E24AE">
              <w:rPr>
                <w:rFonts w:cs="Times-Roman"/>
                <w:kern w:val="0"/>
                <w:sz w:val="22"/>
                <w:szCs w:val="22"/>
              </w:rPr>
              <w:t xml:space="preserve"> </w:t>
            </w:r>
            <w:r w:rsidRPr="007E24AE">
              <w:rPr>
                <w:rFonts w:cs="Times-Roman"/>
                <w:kern w:val="0"/>
                <w:sz w:val="22"/>
                <w:szCs w:val="22"/>
              </w:rPr>
              <w:t>/Markdown</w:t>
            </w:r>
          </w:p>
        </w:tc>
        <w:tc>
          <w:tcPr>
            <w:tcW w:w="700" w:type="pct"/>
            <w:tcMar>
              <w:top w:w="20" w:type="nil"/>
              <w:left w:w="20" w:type="nil"/>
              <w:bottom w:w="20" w:type="nil"/>
              <w:right w:w="20" w:type="nil"/>
            </w:tcMar>
          </w:tcPr>
          <w:p w14:paraId="0CA5BB6F"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II, IV, V, VI, VII, VIII, IX, X</w:t>
            </w:r>
          </w:p>
        </w:tc>
      </w:tr>
      <w:tr w:rsidR="007E24AE" w14:paraId="0F8D61C6" w14:textId="77777777" w:rsidTr="007E24AE">
        <w:tc>
          <w:tcPr>
            <w:tcW w:w="606" w:type="pct"/>
            <w:tcMar>
              <w:top w:w="20" w:type="nil"/>
              <w:left w:w="20" w:type="nil"/>
              <w:bottom w:w="20" w:type="nil"/>
              <w:right w:w="20" w:type="nil"/>
            </w:tcMar>
          </w:tcPr>
          <w:p w14:paraId="1EEACF46"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C</w:t>
            </w:r>
          </w:p>
        </w:tc>
        <w:tc>
          <w:tcPr>
            <w:tcW w:w="842" w:type="pct"/>
            <w:tcMar>
              <w:top w:w="20" w:type="nil"/>
              <w:left w:w="20" w:type="nil"/>
              <w:bottom w:w="20" w:type="nil"/>
              <w:right w:w="20" w:type="nil"/>
            </w:tcMar>
          </w:tcPr>
          <w:p w14:paraId="311E7C42"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JSON Schemas</w:t>
            </w:r>
          </w:p>
        </w:tc>
        <w:tc>
          <w:tcPr>
            <w:tcW w:w="2110" w:type="pct"/>
            <w:tcMar>
              <w:top w:w="86" w:type="dxa"/>
              <w:left w:w="115" w:type="dxa"/>
              <w:bottom w:w="86" w:type="dxa"/>
              <w:right w:w="115" w:type="dxa"/>
            </w:tcMar>
          </w:tcPr>
          <w:p w14:paraId="7991C2EB"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 xml:space="preserve">Defines JSON schemas for data validation across layers, including input (query), output (response), feedback, journey, mentor, and domain schemas. Updated for multilingual, voice, and agentic features (Q3 2025, Section XI). </w:t>
            </w:r>
            <w:r w:rsidRPr="007E24AE">
              <w:rPr>
                <w:rFonts w:cs="Times-Roman"/>
                <w:kern w:val="0"/>
                <w:sz w:val="22"/>
                <w:szCs w:val="22"/>
              </w:rPr>
              <w:lastRenderedPageBreak/>
              <w:t>Includes validation notes for the 2,000+ strain library.</w:t>
            </w:r>
          </w:p>
        </w:tc>
        <w:tc>
          <w:tcPr>
            <w:tcW w:w="743" w:type="pct"/>
            <w:tcMar>
              <w:top w:w="20" w:type="nil"/>
              <w:left w:w="20" w:type="nil"/>
              <w:bottom w:w="20" w:type="nil"/>
              <w:right w:w="144" w:type="dxa"/>
            </w:tcMar>
          </w:tcPr>
          <w:p w14:paraId="67EFB47E"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lastRenderedPageBreak/>
              <w:t>Text/JSON</w:t>
            </w:r>
          </w:p>
        </w:tc>
        <w:tc>
          <w:tcPr>
            <w:tcW w:w="700" w:type="pct"/>
            <w:tcMar>
              <w:top w:w="20" w:type="nil"/>
              <w:left w:w="20" w:type="nil"/>
              <w:bottom w:w="20" w:type="nil"/>
              <w:right w:w="20" w:type="nil"/>
            </w:tcMar>
          </w:tcPr>
          <w:p w14:paraId="71EC412D"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II, III, IV, V, VI, VII, VIII, IX, X, XI</w:t>
            </w:r>
          </w:p>
        </w:tc>
      </w:tr>
      <w:tr w:rsidR="007E24AE" w14:paraId="6FCB5BA5" w14:textId="77777777" w:rsidTr="007E24AE">
        <w:tc>
          <w:tcPr>
            <w:tcW w:w="606" w:type="pct"/>
            <w:tcMar>
              <w:top w:w="20" w:type="nil"/>
              <w:left w:w="20" w:type="nil"/>
              <w:bottom w:w="20" w:type="nil"/>
              <w:right w:w="20" w:type="nil"/>
            </w:tcMar>
          </w:tcPr>
          <w:p w14:paraId="3DEC9750"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D</w:t>
            </w:r>
          </w:p>
        </w:tc>
        <w:tc>
          <w:tcPr>
            <w:tcW w:w="842" w:type="pct"/>
            <w:tcMar>
              <w:top w:w="20" w:type="nil"/>
              <w:left w:w="20" w:type="nil"/>
              <w:bottom w:w="20" w:type="nil"/>
              <w:right w:w="20" w:type="nil"/>
            </w:tcMar>
          </w:tcPr>
          <w:p w14:paraId="38759C3F"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Simulation Tests</w:t>
            </w:r>
          </w:p>
        </w:tc>
        <w:tc>
          <w:tcPr>
            <w:tcW w:w="2110" w:type="pct"/>
            <w:tcMar>
              <w:top w:w="86" w:type="dxa"/>
              <w:left w:w="115" w:type="dxa"/>
              <w:bottom w:w="86" w:type="dxa"/>
              <w:right w:w="115" w:type="dxa"/>
            </w:tcMar>
          </w:tcPr>
          <w:p w14:paraId="12F801F8"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 xml:space="preserve">Provides a library of 1,000+ test cases for the Simulation Framework (Section VIII), covering edge cases (e.g., invalid regions), cultural mismatches, and high-volume loads. Includes </w:t>
            </w:r>
            <w:proofErr w:type="spellStart"/>
            <w:r w:rsidRPr="007E24AE">
              <w:rPr>
                <w:rFonts w:cs="Times-Roman"/>
                <w:kern w:val="0"/>
                <w:sz w:val="22"/>
                <w:szCs w:val="22"/>
              </w:rPr>
              <w:t>pytest</w:t>
            </w:r>
            <w:proofErr w:type="spellEnd"/>
            <w:r w:rsidRPr="007E24AE">
              <w:rPr>
                <w:rFonts w:cs="Times-Roman"/>
                <w:kern w:val="0"/>
                <w:sz w:val="22"/>
                <w:szCs w:val="22"/>
              </w:rPr>
              <w:t xml:space="preserve"> scripts, results (97.5% accuracy, 100% compliance), and metrics for user satisfaction and latency.</w:t>
            </w:r>
          </w:p>
        </w:tc>
        <w:tc>
          <w:tcPr>
            <w:tcW w:w="743" w:type="pct"/>
            <w:tcMar>
              <w:top w:w="20" w:type="nil"/>
              <w:left w:w="20" w:type="nil"/>
              <w:bottom w:w="20" w:type="nil"/>
              <w:right w:w="144" w:type="dxa"/>
            </w:tcMar>
          </w:tcPr>
          <w:p w14:paraId="4F703BD8" w14:textId="113D412A"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Text</w:t>
            </w:r>
            <w:r w:rsidR="007E24AE" w:rsidRPr="007E24AE">
              <w:rPr>
                <w:rFonts w:cs="Times-Roman"/>
                <w:kern w:val="0"/>
                <w:sz w:val="22"/>
                <w:szCs w:val="22"/>
              </w:rPr>
              <w:t xml:space="preserve"> </w:t>
            </w:r>
            <w:r w:rsidRPr="007E24AE">
              <w:rPr>
                <w:rFonts w:cs="Times-Roman"/>
                <w:kern w:val="0"/>
                <w:sz w:val="22"/>
                <w:szCs w:val="22"/>
              </w:rPr>
              <w:t>/Python</w:t>
            </w:r>
          </w:p>
        </w:tc>
        <w:tc>
          <w:tcPr>
            <w:tcW w:w="700" w:type="pct"/>
            <w:tcMar>
              <w:top w:w="20" w:type="nil"/>
              <w:left w:w="20" w:type="nil"/>
              <w:bottom w:w="20" w:type="nil"/>
              <w:right w:w="20" w:type="nil"/>
            </w:tcMar>
          </w:tcPr>
          <w:p w14:paraId="1FB4A284"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II, III, IV, V, VI, VII, VIII, IX, X, XI</w:t>
            </w:r>
          </w:p>
        </w:tc>
      </w:tr>
      <w:tr w:rsidR="007E24AE" w14:paraId="4498FB41" w14:textId="77777777" w:rsidTr="007E24AE">
        <w:tc>
          <w:tcPr>
            <w:tcW w:w="606" w:type="pct"/>
            <w:tcMar>
              <w:top w:w="20" w:type="nil"/>
              <w:left w:w="20" w:type="nil"/>
              <w:bottom w:w="20" w:type="nil"/>
              <w:right w:w="20" w:type="nil"/>
            </w:tcMar>
          </w:tcPr>
          <w:p w14:paraId="6787C3E6"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E</w:t>
            </w:r>
          </w:p>
        </w:tc>
        <w:tc>
          <w:tcPr>
            <w:tcW w:w="842" w:type="pct"/>
            <w:tcMar>
              <w:top w:w="20" w:type="nil"/>
              <w:left w:w="20" w:type="nil"/>
              <w:bottom w:w="20" w:type="nil"/>
              <w:right w:w="20" w:type="nil"/>
            </w:tcMar>
          </w:tcPr>
          <w:p w14:paraId="5E732B3D" w14:textId="77777777" w:rsidR="00AA3E06" w:rsidRPr="007E24AE" w:rsidRDefault="00AA3E06" w:rsidP="007E24AE">
            <w:pPr>
              <w:autoSpaceDE w:val="0"/>
              <w:autoSpaceDN w:val="0"/>
              <w:adjustRightInd w:val="0"/>
              <w:spacing w:after="0" w:line="288" w:lineRule="auto"/>
              <w:rPr>
                <w:rFonts w:cs="Times-Roman"/>
                <w:kern w:val="0"/>
                <w:sz w:val="22"/>
                <w:szCs w:val="22"/>
              </w:rPr>
            </w:pPr>
            <w:proofErr w:type="spellStart"/>
            <w:r w:rsidRPr="007E24AE">
              <w:rPr>
                <w:rFonts w:cs="Times-Roman"/>
                <w:kern w:val="0"/>
                <w:sz w:val="22"/>
                <w:szCs w:val="22"/>
              </w:rPr>
              <w:t>OpenAPI</w:t>
            </w:r>
            <w:proofErr w:type="spellEnd"/>
            <w:r w:rsidRPr="007E24AE">
              <w:rPr>
                <w:rFonts w:cs="Times-Roman"/>
                <w:kern w:val="0"/>
                <w:sz w:val="22"/>
                <w:szCs w:val="22"/>
              </w:rPr>
              <w:t xml:space="preserve"> Specifications</w:t>
            </w:r>
          </w:p>
        </w:tc>
        <w:tc>
          <w:tcPr>
            <w:tcW w:w="2110" w:type="pct"/>
            <w:tcMar>
              <w:top w:w="86" w:type="dxa"/>
              <w:left w:w="115" w:type="dxa"/>
              <w:bottom w:w="86" w:type="dxa"/>
              <w:right w:w="115" w:type="dxa"/>
            </w:tcMar>
          </w:tcPr>
          <w:p w14:paraId="034EB774"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Details the v1.5 API portal (Node.js, RESTful), including /query, /response, /feedback, /data, /user, and planned /</w:t>
            </w:r>
            <w:proofErr w:type="spellStart"/>
            <w:r w:rsidRPr="007E24AE">
              <w:rPr>
                <w:rFonts w:cs="Times-Roman"/>
                <w:kern w:val="0"/>
                <w:sz w:val="22"/>
                <w:szCs w:val="22"/>
              </w:rPr>
              <w:t>voice_query</w:t>
            </w:r>
            <w:proofErr w:type="spellEnd"/>
            <w:r w:rsidRPr="007E24AE">
              <w:rPr>
                <w:rFonts w:cs="Times-Roman"/>
                <w:kern w:val="0"/>
                <w:sz w:val="22"/>
                <w:szCs w:val="22"/>
              </w:rPr>
              <w:t xml:space="preserve">, /purchase endpoints (Section XI). Provides </w:t>
            </w:r>
            <w:proofErr w:type="spellStart"/>
            <w:r w:rsidRPr="007E24AE">
              <w:rPr>
                <w:rFonts w:cs="Times-Roman"/>
                <w:kern w:val="0"/>
                <w:sz w:val="22"/>
                <w:szCs w:val="22"/>
              </w:rPr>
              <w:t>OpenAPI</w:t>
            </w:r>
            <w:proofErr w:type="spellEnd"/>
            <w:r w:rsidRPr="007E24AE">
              <w:rPr>
                <w:rFonts w:cs="Times-Roman"/>
                <w:kern w:val="0"/>
                <w:sz w:val="22"/>
                <w:szCs w:val="22"/>
              </w:rPr>
              <w:t xml:space="preserve"> 3.0.3 specs, curl examples, and error handling (e.g., 400, 429). Supports OAuth 2.0 and e-commerce integrations.</w:t>
            </w:r>
          </w:p>
        </w:tc>
        <w:tc>
          <w:tcPr>
            <w:tcW w:w="743" w:type="pct"/>
            <w:tcMar>
              <w:top w:w="20" w:type="nil"/>
              <w:left w:w="20" w:type="nil"/>
              <w:bottom w:w="20" w:type="nil"/>
              <w:right w:w="144" w:type="dxa"/>
            </w:tcMar>
          </w:tcPr>
          <w:p w14:paraId="7DE08D04" w14:textId="75F9A745"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Text</w:t>
            </w:r>
            <w:r w:rsidR="007E24AE" w:rsidRPr="007E24AE">
              <w:rPr>
                <w:rFonts w:cs="Times-Roman"/>
                <w:kern w:val="0"/>
                <w:sz w:val="22"/>
                <w:szCs w:val="22"/>
              </w:rPr>
              <w:t xml:space="preserve"> </w:t>
            </w:r>
            <w:r w:rsidRPr="007E24AE">
              <w:rPr>
                <w:rFonts w:cs="Times-Roman"/>
                <w:kern w:val="0"/>
                <w:sz w:val="22"/>
                <w:szCs w:val="22"/>
              </w:rPr>
              <w:t>/YAML</w:t>
            </w:r>
          </w:p>
        </w:tc>
        <w:tc>
          <w:tcPr>
            <w:tcW w:w="700" w:type="pct"/>
            <w:tcMar>
              <w:top w:w="20" w:type="nil"/>
              <w:left w:w="20" w:type="nil"/>
              <w:bottom w:w="20" w:type="nil"/>
              <w:right w:w="20" w:type="nil"/>
            </w:tcMar>
          </w:tcPr>
          <w:p w14:paraId="2A8ED548"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V, VI, VII, VIII, IX, XI</w:t>
            </w:r>
          </w:p>
        </w:tc>
      </w:tr>
      <w:tr w:rsidR="007E24AE" w14:paraId="7EC52111" w14:textId="77777777" w:rsidTr="007E24AE">
        <w:tc>
          <w:tcPr>
            <w:tcW w:w="606" w:type="pct"/>
            <w:tcMar>
              <w:top w:w="20" w:type="nil"/>
              <w:left w:w="20" w:type="nil"/>
              <w:bottom w:w="20" w:type="nil"/>
              <w:right w:w="20" w:type="nil"/>
            </w:tcMar>
          </w:tcPr>
          <w:p w14:paraId="3BEBCD1F"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F</w:t>
            </w:r>
          </w:p>
        </w:tc>
        <w:tc>
          <w:tcPr>
            <w:tcW w:w="842" w:type="pct"/>
            <w:tcMar>
              <w:top w:w="20" w:type="nil"/>
              <w:left w:w="20" w:type="nil"/>
              <w:bottom w:w="20" w:type="nil"/>
              <w:right w:w="20" w:type="nil"/>
            </w:tcMar>
          </w:tcPr>
          <w:p w14:paraId="6028F64D"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Domain Ontology</w:t>
            </w:r>
          </w:p>
        </w:tc>
        <w:tc>
          <w:tcPr>
            <w:tcW w:w="2110" w:type="pct"/>
            <w:tcMar>
              <w:top w:w="86" w:type="dxa"/>
              <w:left w:w="115" w:type="dxa"/>
              <w:bottom w:w="86" w:type="dxa"/>
              <w:right w:w="115" w:type="dxa"/>
            </w:tcMar>
          </w:tcPr>
          <w:p w14:paraId="1E7DD239"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 xml:space="preserve">Defines the Cannabis Knowledge Graph structure (Neo4j-based), covering 2,000+ strains, terpenes, cannabinoids, effects, and regulatory data for 50+ regions. Includes Cypher query examples and data sources (e.g., </w:t>
            </w:r>
            <w:proofErr w:type="spellStart"/>
            <w:r w:rsidRPr="007E24AE">
              <w:rPr>
                <w:rFonts w:cs="Times-Roman"/>
                <w:kern w:val="0"/>
                <w:sz w:val="22"/>
                <w:szCs w:val="22"/>
              </w:rPr>
              <w:t>Kannapedia’s</w:t>
            </w:r>
            <w:proofErr w:type="spellEnd"/>
            <w:r w:rsidRPr="007E24AE">
              <w:rPr>
                <w:rFonts w:cs="Times-Roman"/>
                <w:kern w:val="0"/>
                <w:sz w:val="22"/>
                <w:szCs w:val="22"/>
              </w:rPr>
              <w:t xml:space="preserve"> 2,241 strains). Updated for strain library correction (memo, May 4, 2025).</w:t>
            </w:r>
          </w:p>
        </w:tc>
        <w:tc>
          <w:tcPr>
            <w:tcW w:w="743" w:type="pct"/>
            <w:tcMar>
              <w:top w:w="20" w:type="nil"/>
              <w:left w:w="20" w:type="nil"/>
              <w:bottom w:w="20" w:type="nil"/>
              <w:right w:w="144" w:type="dxa"/>
            </w:tcMar>
          </w:tcPr>
          <w:p w14:paraId="5BF69DE9" w14:textId="4D94657F"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Text</w:t>
            </w:r>
            <w:r w:rsidR="007E24AE" w:rsidRPr="007E24AE">
              <w:rPr>
                <w:rFonts w:cs="Times-Roman"/>
                <w:kern w:val="0"/>
                <w:sz w:val="22"/>
                <w:szCs w:val="22"/>
              </w:rPr>
              <w:t xml:space="preserve"> </w:t>
            </w:r>
            <w:r w:rsidRPr="007E24AE">
              <w:rPr>
                <w:rFonts w:cs="Times-Roman"/>
                <w:kern w:val="0"/>
                <w:sz w:val="22"/>
                <w:szCs w:val="22"/>
              </w:rPr>
              <w:t>/Markdown</w:t>
            </w:r>
          </w:p>
        </w:tc>
        <w:tc>
          <w:tcPr>
            <w:tcW w:w="700" w:type="pct"/>
            <w:tcMar>
              <w:top w:w="20" w:type="nil"/>
              <w:left w:w="20" w:type="nil"/>
              <w:bottom w:w="20" w:type="nil"/>
              <w:right w:w="20" w:type="nil"/>
            </w:tcMar>
          </w:tcPr>
          <w:p w14:paraId="1F14DF3E" w14:textId="77777777" w:rsidR="00AA3E06" w:rsidRPr="007E24AE" w:rsidRDefault="00AA3E06" w:rsidP="007E24AE">
            <w:pPr>
              <w:autoSpaceDE w:val="0"/>
              <w:autoSpaceDN w:val="0"/>
              <w:adjustRightInd w:val="0"/>
              <w:spacing w:after="0" w:line="288" w:lineRule="auto"/>
              <w:rPr>
                <w:rFonts w:cs="Times-Roman"/>
                <w:kern w:val="0"/>
                <w:sz w:val="22"/>
                <w:szCs w:val="22"/>
              </w:rPr>
            </w:pPr>
            <w:r w:rsidRPr="007E24AE">
              <w:rPr>
                <w:rFonts w:cs="Times-Roman"/>
                <w:kern w:val="0"/>
                <w:sz w:val="22"/>
                <w:szCs w:val="22"/>
              </w:rPr>
              <w:t>V, VIII, IX, XI</w:t>
            </w:r>
          </w:p>
        </w:tc>
      </w:tr>
    </w:tbl>
    <w:p w14:paraId="6B927751" w14:textId="77777777" w:rsidR="00AA3E06" w:rsidRPr="003C7CBA" w:rsidRDefault="00AA3E06" w:rsidP="003C7CBA">
      <w:pPr>
        <w:autoSpaceDE w:val="0"/>
        <w:autoSpaceDN w:val="0"/>
        <w:adjustRightInd w:val="0"/>
        <w:spacing w:before="240" w:after="120" w:line="240" w:lineRule="auto"/>
        <w:rPr>
          <w:rFonts w:asciiTheme="majorHAnsi" w:hAnsiTheme="majorHAnsi" w:cs="Times-Bold"/>
          <w:b/>
          <w:bCs/>
          <w:kern w:val="0"/>
          <w:sz w:val="36"/>
          <w:szCs w:val="36"/>
        </w:rPr>
      </w:pPr>
      <w:r w:rsidRPr="003C7CBA">
        <w:rPr>
          <w:rFonts w:asciiTheme="majorHAnsi" w:hAnsiTheme="majorHAnsi" w:cs="Times-Bold"/>
          <w:b/>
          <w:bCs/>
          <w:kern w:val="0"/>
          <w:sz w:val="36"/>
          <w:szCs w:val="36"/>
        </w:rPr>
        <w:t>Notes for Developers</w:t>
      </w:r>
    </w:p>
    <w:p w14:paraId="6CF85F3A" w14:textId="1A9371B2" w:rsidR="00AA3E06" w:rsidRPr="003C7CBA" w:rsidRDefault="00AA3E06" w:rsidP="003C7CBA">
      <w:pPr>
        <w:numPr>
          <w:ilvl w:val="0"/>
          <w:numId w:val="1"/>
        </w:numPr>
        <w:tabs>
          <w:tab w:val="left" w:pos="220"/>
          <w:tab w:val="left" w:pos="720"/>
        </w:tabs>
        <w:autoSpaceDE w:val="0"/>
        <w:autoSpaceDN w:val="0"/>
        <w:adjustRightInd w:val="0"/>
        <w:spacing w:after="60" w:line="288" w:lineRule="auto"/>
        <w:ind w:hanging="720"/>
        <w:rPr>
          <w:rFonts w:cs="Times-Roman"/>
          <w:kern w:val="0"/>
        </w:rPr>
      </w:pPr>
      <w:r w:rsidRPr="003C7CBA">
        <w:rPr>
          <w:rFonts w:cs="Times-Bold"/>
          <w:b/>
          <w:bCs/>
          <w:kern w:val="0"/>
        </w:rPr>
        <w:t>Access</w:t>
      </w:r>
      <w:r w:rsidRPr="003C7CBA">
        <w:rPr>
          <w:rFonts w:cs="Times-Roman"/>
          <w:kern w:val="0"/>
        </w:rPr>
        <w:t xml:space="preserve">: Appendices are </w:t>
      </w:r>
      <w:r w:rsidR="003C7CBA">
        <w:rPr>
          <w:rFonts w:cs="Times-Roman"/>
          <w:kern w:val="0"/>
        </w:rPr>
        <w:t xml:space="preserve">available </w:t>
      </w:r>
      <w:r w:rsidRPr="003C7CBA">
        <w:rPr>
          <w:rFonts w:cs="Times-Roman"/>
          <w:kern w:val="0"/>
        </w:rPr>
        <w:t xml:space="preserve">in a separate </w:t>
      </w:r>
      <w:r w:rsidRPr="003C7CBA">
        <w:rPr>
          <w:rFonts w:cs="Times-Italic"/>
          <w:i/>
          <w:iCs/>
          <w:kern w:val="0"/>
        </w:rPr>
        <w:t>.docx</w:t>
      </w:r>
      <w:r w:rsidRPr="003C7CBA">
        <w:rPr>
          <w:rFonts w:cs="Times-Roman"/>
          <w:kern w:val="0"/>
        </w:rPr>
        <w:t xml:space="preserve"> document, cross-referenced in Sections I–XI for implementation, testing, and debugging.</w:t>
      </w:r>
    </w:p>
    <w:p w14:paraId="0F6A1734" w14:textId="77777777" w:rsidR="00AA3E06" w:rsidRPr="003C7CBA" w:rsidRDefault="00AA3E06" w:rsidP="003C7CBA">
      <w:pPr>
        <w:numPr>
          <w:ilvl w:val="0"/>
          <w:numId w:val="1"/>
        </w:numPr>
        <w:tabs>
          <w:tab w:val="left" w:pos="220"/>
          <w:tab w:val="left" w:pos="720"/>
        </w:tabs>
        <w:autoSpaceDE w:val="0"/>
        <w:autoSpaceDN w:val="0"/>
        <w:adjustRightInd w:val="0"/>
        <w:spacing w:after="60" w:line="288" w:lineRule="auto"/>
        <w:ind w:hanging="720"/>
        <w:rPr>
          <w:rFonts w:cs="Times-Roman"/>
          <w:kern w:val="0"/>
        </w:rPr>
      </w:pPr>
      <w:r w:rsidRPr="003C7CBA">
        <w:rPr>
          <w:rFonts w:cs="Times-Bold"/>
          <w:b/>
          <w:bCs/>
          <w:kern w:val="0"/>
        </w:rPr>
        <w:t>Usage</w:t>
      </w:r>
      <w:r w:rsidRPr="003C7CBA">
        <w:rPr>
          <w:rFonts w:cs="Times-Roman"/>
          <w:kern w:val="0"/>
        </w:rPr>
        <w:t>: Use Appendix C for schema validation, Appendix D for test execution, and Appendix E for API integration. Appendices A, B, and F provide context for versioning, ethics, and domain data.</w:t>
      </w:r>
    </w:p>
    <w:p w14:paraId="7408E55A" w14:textId="77777777" w:rsidR="00AA3E06" w:rsidRPr="003C7CBA" w:rsidRDefault="00AA3E06" w:rsidP="003C7CBA">
      <w:pPr>
        <w:numPr>
          <w:ilvl w:val="0"/>
          <w:numId w:val="1"/>
        </w:numPr>
        <w:tabs>
          <w:tab w:val="left" w:pos="220"/>
          <w:tab w:val="left" w:pos="720"/>
        </w:tabs>
        <w:autoSpaceDE w:val="0"/>
        <w:autoSpaceDN w:val="0"/>
        <w:adjustRightInd w:val="0"/>
        <w:spacing w:after="60" w:line="288" w:lineRule="auto"/>
        <w:ind w:hanging="720"/>
        <w:rPr>
          <w:rFonts w:cs="Times-Roman"/>
          <w:kern w:val="0"/>
        </w:rPr>
      </w:pPr>
      <w:r w:rsidRPr="003C7CBA">
        <w:rPr>
          <w:rFonts w:cs="Times-Bold"/>
          <w:b/>
          <w:bCs/>
          <w:kern w:val="0"/>
        </w:rPr>
        <w:lastRenderedPageBreak/>
        <w:t>Extensibility</w:t>
      </w:r>
      <w:r w:rsidRPr="003C7CBA">
        <w:rPr>
          <w:rFonts w:cs="Times-Roman"/>
          <w:kern w:val="0"/>
        </w:rPr>
        <w:t xml:space="preserve">: Appendices C, D, and </w:t>
      </w:r>
      <w:proofErr w:type="spellStart"/>
      <w:r w:rsidRPr="003C7CBA">
        <w:rPr>
          <w:rFonts w:cs="Times-Roman"/>
          <w:kern w:val="0"/>
        </w:rPr>
        <w:t>E</w:t>
      </w:r>
      <w:proofErr w:type="spellEnd"/>
      <w:r w:rsidRPr="003C7CBA">
        <w:rPr>
          <w:rFonts w:cs="Times-Roman"/>
          <w:kern w:val="0"/>
        </w:rPr>
        <w:t xml:space="preserve"> are designed for future updates (e.g., multilingual schemas, voice test cases, new API endpoints), supporting Q3 2025–Q4 2026 milestones (Section XI).</w:t>
      </w:r>
    </w:p>
    <w:p w14:paraId="1453A822" w14:textId="77777777" w:rsidR="00AA3E06" w:rsidRPr="003C7CBA" w:rsidRDefault="00AA3E06" w:rsidP="003C7CBA">
      <w:pPr>
        <w:numPr>
          <w:ilvl w:val="0"/>
          <w:numId w:val="1"/>
        </w:numPr>
        <w:tabs>
          <w:tab w:val="left" w:pos="220"/>
          <w:tab w:val="left" w:pos="720"/>
        </w:tabs>
        <w:autoSpaceDE w:val="0"/>
        <w:autoSpaceDN w:val="0"/>
        <w:adjustRightInd w:val="0"/>
        <w:spacing w:after="60" w:line="288" w:lineRule="auto"/>
        <w:ind w:hanging="720"/>
        <w:rPr>
          <w:rFonts w:cs="Times-Roman"/>
          <w:kern w:val="0"/>
        </w:rPr>
      </w:pPr>
      <w:r w:rsidRPr="003C7CBA">
        <w:rPr>
          <w:rFonts w:cs="Times-Bold"/>
          <w:b/>
          <w:bCs/>
          <w:kern w:val="0"/>
        </w:rPr>
        <w:t>Consistency</w:t>
      </w:r>
      <w:r w:rsidRPr="003C7CBA">
        <w:rPr>
          <w:rFonts w:cs="Times-Roman"/>
          <w:kern w:val="0"/>
        </w:rPr>
        <w:t>: All appendices reflect the corrected "2000+ strain library" (Appendix F) and adhere to ethical protocols (Appendix B).</w:t>
      </w:r>
    </w:p>
    <w:p w14:paraId="6865CC55" w14:textId="77777777" w:rsidR="00AA3E06" w:rsidRPr="003C7CBA" w:rsidRDefault="00AA3E06" w:rsidP="003C7CBA">
      <w:pPr>
        <w:autoSpaceDE w:val="0"/>
        <w:autoSpaceDN w:val="0"/>
        <w:adjustRightInd w:val="0"/>
        <w:spacing w:before="240" w:after="120" w:line="240" w:lineRule="auto"/>
        <w:rPr>
          <w:rFonts w:asciiTheme="majorHAnsi" w:hAnsiTheme="majorHAnsi" w:cs="Times-Bold"/>
          <w:b/>
          <w:bCs/>
          <w:kern w:val="0"/>
          <w:sz w:val="36"/>
          <w:szCs w:val="36"/>
        </w:rPr>
      </w:pPr>
      <w:r w:rsidRPr="003C7CBA">
        <w:rPr>
          <w:rFonts w:asciiTheme="majorHAnsi" w:hAnsiTheme="majorHAnsi" w:cs="Times-Bold"/>
          <w:b/>
          <w:bCs/>
          <w:kern w:val="0"/>
          <w:sz w:val="36"/>
          <w:szCs w:val="36"/>
        </w:rPr>
        <w:t>Narrative Context</w:t>
      </w:r>
    </w:p>
    <w:p w14:paraId="245CCA9F" w14:textId="257D8AD0" w:rsidR="00AA3E06" w:rsidRPr="003C7CBA" w:rsidRDefault="00AA3E06" w:rsidP="003C7CBA">
      <w:pPr>
        <w:autoSpaceDE w:val="0"/>
        <w:autoSpaceDN w:val="0"/>
        <w:adjustRightInd w:val="0"/>
        <w:spacing w:after="120" w:line="288" w:lineRule="auto"/>
        <w:rPr>
          <w:rFonts w:cs="Times-Roman"/>
          <w:kern w:val="0"/>
        </w:rPr>
      </w:pPr>
      <w:r w:rsidRPr="003C7CBA">
        <w:rPr>
          <w:rFonts w:cs="Times-Roman"/>
          <w:kern w:val="0"/>
        </w:rPr>
        <w:t xml:space="preserve">In the hero’s journey, the Table of Appendices is the map that guides the development team through the rich resources supporting Atlas PALM v1.5. It ensures every tool—from schemas to test cases—is readily accessible, empowering developers to craft a platform that transforms the hero’s cannabis exploration. </w:t>
      </w:r>
      <w:r w:rsidR="003C7CBA">
        <w:rPr>
          <w:rFonts w:cs="Times-Roman"/>
          <w:kern w:val="0"/>
        </w:rPr>
        <w:t>T</w:t>
      </w:r>
      <w:r w:rsidRPr="003C7CBA">
        <w:rPr>
          <w:rFonts w:cs="Times-Roman"/>
          <w:kern w:val="0"/>
        </w:rPr>
        <w:t>his</w:t>
      </w:r>
      <w:r w:rsidR="003C7CBA">
        <w:rPr>
          <w:rFonts w:cs="Times-Roman"/>
          <w:kern w:val="0"/>
        </w:rPr>
        <w:t xml:space="preserve"> Appendices T</w:t>
      </w:r>
      <w:r w:rsidRPr="003C7CBA">
        <w:rPr>
          <w:rFonts w:cs="Times-Roman"/>
          <w:kern w:val="0"/>
        </w:rPr>
        <w:t>able is a beacon of clarity, streamlining access to the materials that bring Atlas to life.</w:t>
      </w:r>
    </w:p>
    <w:p w14:paraId="72E6D67D" w14:textId="54F24097" w:rsidR="009B0C23" w:rsidRDefault="009B0C23">
      <w:r>
        <w:br w:type="page"/>
      </w:r>
    </w:p>
    <w:p w14:paraId="045834A7" w14:textId="77777777" w:rsidR="00AE116F" w:rsidRDefault="00AE116F" w:rsidP="00AE116F">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lastRenderedPageBreak/>
        <w:t>Appendix A: Version Logs</w:t>
      </w:r>
    </w:p>
    <w:p w14:paraId="46E8996C" w14:textId="77777777" w:rsidR="00AE116F" w:rsidRDefault="00AE116F" w:rsidP="00AE116F">
      <w:pPr>
        <w:autoSpaceDE w:val="0"/>
        <w:autoSpaceDN w:val="0"/>
        <w:adjustRightInd w:val="0"/>
        <w:spacing w:after="240" w:line="240" w:lineRule="auto"/>
        <w:rPr>
          <w:rFonts w:ascii="Times-Roman" w:hAnsi="Times-Roman" w:cs="Times-Roman"/>
          <w:kern w:val="0"/>
        </w:rPr>
      </w:pPr>
      <w:r>
        <w:rPr>
          <w:rFonts w:ascii="Times-Roman" w:hAnsi="Times-Roman" w:cs="Times-Roman"/>
          <w:kern w:val="0"/>
        </w:rPr>
        <w:t>This appendix chronicles the version history of Atlas PALM, from v1.0 to v1.5, detailing feature additions, bug fixes, and advancements to support traceability and developer context. It ensures the development team, including Chat, understands the platform’s evolution, aligning with the user-as-hero narrative by documenting how Atlas has grown to empower users. Logs include timestamps, contributor notes, and references to the corrected "2000+ strain library" (memo, May 4, 2025).</w:t>
      </w:r>
    </w:p>
    <w:p w14:paraId="6452AB42" w14:textId="77777777" w:rsidR="00AE116F" w:rsidRDefault="00AE116F" w:rsidP="00AE116F">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Version History</w:t>
      </w:r>
    </w:p>
    <w:p w14:paraId="5280F9D0" w14:textId="77777777" w:rsidR="00AE116F" w:rsidRDefault="00AE116F" w:rsidP="00AE116F">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v1.0 (Q1 2024)</w:t>
      </w:r>
      <w:r>
        <w:rPr>
          <w:rFonts w:ascii="Times-Roman" w:hAnsi="Times-Roman" w:cs="Times-Roman"/>
          <w:kern w:val="0"/>
        </w:rPr>
        <w:t>:</w:t>
      </w:r>
    </w:p>
    <w:p w14:paraId="38FC7D8D" w14:textId="77777777" w:rsidR="00AE116F" w:rsidRDefault="00AE116F" w:rsidP="00AE116F">
      <w:pPr>
        <w:numPr>
          <w:ilvl w:val="1"/>
          <w:numId w:val="1"/>
        </w:numPr>
        <w:tabs>
          <w:tab w:val="left" w:pos="940"/>
          <w:tab w:val="left" w:pos="1440"/>
        </w:tabs>
        <w:autoSpaceDE w:val="0"/>
        <w:autoSpaceDN w:val="0"/>
        <w:adjustRightInd w:val="0"/>
        <w:spacing w:after="0" w:line="240" w:lineRule="auto"/>
        <w:ind w:left="1440" w:hanging="1440"/>
        <w:rPr>
          <w:rFonts w:ascii="Times-Roman" w:hAnsi="Times-Roman" w:cs="Times-Roman"/>
          <w:kern w:val="0"/>
        </w:rPr>
      </w:pPr>
      <w:r>
        <w:rPr>
          <w:rFonts w:ascii="Times-Roman" w:hAnsi="Times-Roman" w:cs="Times-Roman"/>
          <w:kern w:val="0"/>
        </w:rPr>
        <w:t>Initial release with six-layer architecture: Input Interpretation, Intent &amp; Journey Mapping, Mentor Matrix, Domain Expertise (1,000 strains), Output Composition, Feedback &amp; Learning.</w:t>
      </w:r>
    </w:p>
    <w:p w14:paraId="49694DA8" w14:textId="77777777" w:rsidR="00AE116F" w:rsidRDefault="00AE116F" w:rsidP="00AE116F">
      <w:pPr>
        <w:numPr>
          <w:ilvl w:val="1"/>
          <w:numId w:val="1"/>
        </w:numPr>
        <w:tabs>
          <w:tab w:val="left" w:pos="940"/>
          <w:tab w:val="left" w:pos="1440"/>
        </w:tabs>
        <w:autoSpaceDE w:val="0"/>
        <w:autoSpaceDN w:val="0"/>
        <w:adjustRightInd w:val="0"/>
        <w:spacing w:after="0" w:line="240" w:lineRule="auto"/>
        <w:ind w:left="1440" w:hanging="1440"/>
        <w:rPr>
          <w:rFonts w:ascii="Times-Roman" w:hAnsi="Times-Roman" w:cs="Times-Roman"/>
          <w:kern w:val="0"/>
        </w:rPr>
      </w:pPr>
      <w:r>
        <w:rPr>
          <w:rFonts w:ascii="Times-Roman" w:hAnsi="Times-Roman" w:cs="Times-Roman"/>
          <w:kern w:val="0"/>
        </w:rPr>
        <w:t>Features: Basic strain matching, static regulatory data, WordPress integration.</w:t>
      </w:r>
    </w:p>
    <w:p w14:paraId="67D51227" w14:textId="77777777" w:rsidR="00AE116F" w:rsidRDefault="00AE116F" w:rsidP="00AE116F">
      <w:pPr>
        <w:numPr>
          <w:ilvl w:val="1"/>
          <w:numId w:val="1"/>
        </w:numPr>
        <w:tabs>
          <w:tab w:val="left" w:pos="940"/>
          <w:tab w:val="left" w:pos="1440"/>
        </w:tabs>
        <w:autoSpaceDE w:val="0"/>
        <w:autoSpaceDN w:val="0"/>
        <w:adjustRightInd w:val="0"/>
        <w:spacing w:after="0" w:line="240" w:lineRule="auto"/>
        <w:ind w:left="1440" w:hanging="1440"/>
        <w:rPr>
          <w:rFonts w:ascii="Times-Roman" w:hAnsi="Times-Roman" w:cs="Times-Roman"/>
          <w:kern w:val="0"/>
        </w:rPr>
      </w:pPr>
      <w:r>
        <w:rPr>
          <w:rFonts w:ascii="Times-Roman" w:hAnsi="Times-Roman" w:cs="Times-Roman"/>
          <w:kern w:val="0"/>
        </w:rPr>
        <w:t>Metrics: 90% accuracy, 95% uptime, 1,000 queries/second.</w:t>
      </w:r>
    </w:p>
    <w:p w14:paraId="74264020" w14:textId="77777777" w:rsidR="00AE116F" w:rsidRDefault="00AE116F" w:rsidP="00AE116F">
      <w:pPr>
        <w:numPr>
          <w:ilvl w:val="1"/>
          <w:numId w:val="1"/>
        </w:numPr>
        <w:tabs>
          <w:tab w:val="left" w:pos="940"/>
          <w:tab w:val="left" w:pos="1440"/>
        </w:tabs>
        <w:autoSpaceDE w:val="0"/>
        <w:autoSpaceDN w:val="0"/>
        <w:adjustRightInd w:val="0"/>
        <w:spacing w:after="0" w:line="240" w:lineRule="auto"/>
        <w:ind w:left="1440" w:hanging="1440"/>
        <w:rPr>
          <w:rFonts w:ascii="Times-Roman" w:hAnsi="Times-Roman" w:cs="Times-Roman"/>
          <w:kern w:val="0"/>
        </w:rPr>
      </w:pPr>
      <w:r>
        <w:rPr>
          <w:rFonts w:ascii="Times-Roman" w:hAnsi="Times-Roman" w:cs="Times-Roman"/>
          <w:kern w:val="0"/>
        </w:rPr>
        <w:t xml:space="preserve">Contributors: </w:t>
      </w:r>
      <w:proofErr w:type="spellStart"/>
      <w:r>
        <w:rPr>
          <w:rFonts w:ascii="Times-Roman" w:hAnsi="Times-Roman" w:cs="Times-Roman"/>
          <w:kern w:val="0"/>
        </w:rPr>
        <w:t>xAI</w:t>
      </w:r>
      <w:proofErr w:type="spellEnd"/>
      <w:r>
        <w:rPr>
          <w:rFonts w:ascii="Times-Roman" w:hAnsi="Times-Roman" w:cs="Times-Roman"/>
          <w:kern w:val="0"/>
        </w:rPr>
        <w:t xml:space="preserve"> Core Team, Suncliff SMEs.</w:t>
      </w:r>
    </w:p>
    <w:p w14:paraId="7A770348" w14:textId="77777777" w:rsidR="00AE116F" w:rsidRDefault="00AE116F" w:rsidP="00AE116F">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v1.1 (Q3 2024)</w:t>
      </w:r>
      <w:r>
        <w:rPr>
          <w:rFonts w:ascii="Times-Roman" w:hAnsi="Times-Roman" w:cs="Times-Roman"/>
          <w:kern w:val="0"/>
        </w:rPr>
        <w:t>:</w:t>
      </w:r>
    </w:p>
    <w:p w14:paraId="42C5E481" w14:textId="77777777" w:rsidR="00AE116F" w:rsidRDefault="00AE116F" w:rsidP="00AE116F">
      <w:pPr>
        <w:numPr>
          <w:ilvl w:val="1"/>
          <w:numId w:val="1"/>
        </w:numPr>
        <w:tabs>
          <w:tab w:val="left" w:pos="940"/>
          <w:tab w:val="left" w:pos="1440"/>
        </w:tabs>
        <w:autoSpaceDE w:val="0"/>
        <w:autoSpaceDN w:val="0"/>
        <w:adjustRightInd w:val="0"/>
        <w:spacing w:after="0" w:line="240" w:lineRule="auto"/>
        <w:ind w:left="1440" w:hanging="1440"/>
        <w:rPr>
          <w:rFonts w:ascii="Times-Roman" w:hAnsi="Times-Roman" w:cs="Times-Roman"/>
          <w:kern w:val="0"/>
        </w:rPr>
      </w:pPr>
      <w:r>
        <w:rPr>
          <w:rFonts w:ascii="Times-Roman" w:hAnsi="Times-Roman" w:cs="Times-Roman"/>
          <w:kern w:val="0"/>
        </w:rPr>
        <w:t>Added Cultural Context Filter for 20+ regions (Section II).</w:t>
      </w:r>
    </w:p>
    <w:p w14:paraId="3CDC12BD" w14:textId="77777777" w:rsidR="00AE116F" w:rsidRDefault="00AE116F" w:rsidP="00AE116F">
      <w:pPr>
        <w:numPr>
          <w:ilvl w:val="1"/>
          <w:numId w:val="1"/>
        </w:numPr>
        <w:tabs>
          <w:tab w:val="left" w:pos="940"/>
          <w:tab w:val="left" w:pos="1440"/>
        </w:tabs>
        <w:autoSpaceDE w:val="0"/>
        <w:autoSpaceDN w:val="0"/>
        <w:adjustRightInd w:val="0"/>
        <w:spacing w:after="0" w:line="240" w:lineRule="auto"/>
        <w:ind w:left="1440" w:hanging="1440"/>
        <w:rPr>
          <w:rFonts w:ascii="Times-Roman" w:hAnsi="Times-Roman" w:cs="Times-Roman"/>
          <w:kern w:val="0"/>
        </w:rPr>
      </w:pPr>
      <w:r>
        <w:rPr>
          <w:rFonts w:ascii="Times-Roman" w:hAnsi="Times-Roman" w:cs="Times-Roman"/>
          <w:kern w:val="0"/>
        </w:rPr>
        <w:t>Expanded Mentor Matrix with two new archetypes (Section IV).</w:t>
      </w:r>
    </w:p>
    <w:p w14:paraId="61C7A963" w14:textId="77777777" w:rsidR="00AE116F" w:rsidRDefault="00AE116F" w:rsidP="00AE116F">
      <w:pPr>
        <w:numPr>
          <w:ilvl w:val="1"/>
          <w:numId w:val="1"/>
        </w:numPr>
        <w:tabs>
          <w:tab w:val="left" w:pos="940"/>
          <w:tab w:val="left" w:pos="1440"/>
        </w:tabs>
        <w:autoSpaceDE w:val="0"/>
        <w:autoSpaceDN w:val="0"/>
        <w:adjustRightInd w:val="0"/>
        <w:spacing w:after="0" w:line="240" w:lineRule="auto"/>
        <w:ind w:left="1440" w:hanging="1440"/>
        <w:rPr>
          <w:rFonts w:ascii="Times-Roman" w:hAnsi="Times-Roman" w:cs="Times-Roman"/>
          <w:kern w:val="0"/>
        </w:rPr>
      </w:pPr>
      <w:r>
        <w:rPr>
          <w:rFonts w:ascii="Times-Roman" w:hAnsi="Times-Roman" w:cs="Times-Roman"/>
          <w:kern w:val="0"/>
        </w:rPr>
        <w:t>Fixed latency issues in API responses (Section IX).</w:t>
      </w:r>
    </w:p>
    <w:p w14:paraId="43BA14CE" w14:textId="77777777" w:rsidR="00AE116F" w:rsidRDefault="00AE116F" w:rsidP="00AE116F">
      <w:pPr>
        <w:numPr>
          <w:ilvl w:val="1"/>
          <w:numId w:val="1"/>
        </w:numPr>
        <w:tabs>
          <w:tab w:val="left" w:pos="940"/>
          <w:tab w:val="left" w:pos="1440"/>
        </w:tabs>
        <w:autoSpaceDE w:val="0"/>
        <w:autoSpaceDN w:val="0"/>
        <w:adjustRightInd w:val="0"/>
        <w:spacing w:after="0" w:line="240" w:lineRule="auto"/>
        <w:ind w:left="1440" w:hanging="1440"/>
        <w:rPr>
          <w:rFonts w:ascii="Times-Roman" w:hAnsi="Times-Roman" w:cs="Times-Roman"/>
          <w:kern w:val="0"/>
        </w:rPr>
      </w:pPr>
      <w:r>
        <w:rPr>
          <w:rFonts w:ascii="Times-Roman" w:hAnsi="Times-Roman" w:cs="Times-Roman"/>
          <w:kern w:val="0"/>
        </w:rPr>
        <w:t>Metrics: 92% accuracy, 500ms latency.</w:t>
      </w:r>
    </w:p>
    <w:p w14:paraId="54BCF482" w14:textId="77777777" w:rsidR="00AE116F" w:rsidRDefault="00AE116F" w:rsidP="00AE116F">
      <w:pPr>
        <w:numPr>
          <w:ilvl w:val="1"/>
          <w:numId w:val="1"/>
        </w:numPr>
        <w:tabs>
          <w:tab w:val="left" w:pos="940"/>
          <w:tab w:val="left" w:pos="1440"/>
        </w:tabs>
        <w:autoSpaceDE w:val="0"/>
        <w:autoSpaceDN w:val="0"/>
        <w:adjustRightInd w:val="0"/>
        <w:spacing w:after="0" w:line="240" w:lineRule="auto"/>
        <w:ind w:left="1440" w:hanging="1440"/>
        <w:rPr>
          <w:rFonts w:ascii="Times-Roman" w:hAnsi="Times-Roman" w:cs="Times-Roman"/>
          <w:kern w:val="0"/>
        </w:rPr>
      </w:pPr>
      <w:r>
        <w:rPr>
          <w:rFonts w:ascii="Times-Roman" w:hAnsi="Times-Roman" w:cs="Times-Roman"/>
          <w:kern w:val="0"/>
        </w:rPr>
        <w:t xml:space="preserve">Contributors: Jake George (SME), </w:t>
      </w:r>
      <w:proofErr w:type="spellStart"/>
      <w:r>
        <w:rPr>
          <w:rFonts w:ascii="Times-Roman" w:hAnsi="Times-Roman" w:cs="Times-Roman"/>
          <w:kern w:val="0"/>
        </w:rPr>
        <w:t>xAI</w:t>
      </w:r>
      <w:proofErr w:type="spellEnd"/>
      <w:r>
        <w:rPr>
          <w:rFonts w:ascii="Times-Roman" w:hAnsi="Times-Roman" w:cs="Times-Roman"/>
          <w:kern w:val="0"/>
        </w:rPr>
        <w:t xml:space="preserve"> DevOps.</w:t>
      </w:r>
    </w:p>
    <w:p w14:paraId="6FFCF89D" w14:textId="77777777" w:rsidR="00AE116F" w:rsidRDefault="00AE116F" w:rsidP="00AE116F">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v1.5 (Q2 2025)</w:t>
      </w:r>
      <w:r>
        <w:rPr>
          <w:rFonts w:ascii="Times-Roman" w:hAnsi="Times-Roman" w:cs="Times-Roman"/>
          <w:kern w:val="0"/>
        </w:rPr>
        <w:t>:</w:t>
      </w:r>
    </w:p>
    <w:p w14:paraId="56DA939F" w14:textId="77777777" w:rsidR="00AE116F" w:rsidRDefault="00AE116F" w:rsidP="00AE116F">
      <w:pPr>
        <w:numPr>
          <w:ilvl w:val="1"/>
          <w:numId w:val="1"/>
        </w:numPr>
        <w:tabs>
          <w:tab w:val="left" w:pos="940"/>
          <w:tab w:val="left" w:pos="1440"/>
        </w:tabs>
        <w:autoSpaceDE w:val="0"/>
        <w:autoSpaceDN w:val="0"/>
        <w:adjustRightInd w:val="0"/>
        <w:spacing w:after="0" w:line="240" w:lineRule="auto"/>
        <w:ind w:left="1440" w:hanging="1440"/>
        <w:rPr>
          <w:rFonts w:ascii="Times-Roman" w:hAnsi="Times-Roman" w:cs="Times-Roman"/>
          <w:kern w:val="0"/>
        </w:rPr>
      </w:pPr>
      <w:r>
        <w:rPr>
          <w:rFonts w:ascii="Times-Roman" w:hAnsi="Times-Roman" w:cs="Times-Roman"/>
          <w:kern w:val="0"/>
        </w:rPr>
        <w:t>Enhanced Domain Expertise with 2,000+ strain library (corrected from erroneous "10,000+" claim, memo, May 4, 2025) and real-time regulatory data for 50+ regions (Section V).</w:t>
      </w:r>
    </w:p>
    <w:p w14:paraId="1A5E2CE1" w14:textId="77777777" w:rsidR="00AE116F" w:rsidRDefault="00AE116F" w:rsidP="00AE116F">
      <w:pPr>
        <w:numPr>
          <w:ilvl w:val="1"/>
          <w:numId w:val="1"/>
        </w:numPr>
        <w:tabs>
          <w:tab w:val="left" w:pos="940"/>
          <w:tab w:val="left" w:pos="1440"/>
        </w:tabs>
        <w:autoSpaceDE w:val="0"/>
        <w:autoSpaceDN w:val="0"/>
        <w:adjustRightInd w:val="0"/>
        <w:spacing w:after="0" w:line="240" w:lineRule="auto"/>
        <w:ind w:left="1440" w:hanging="1440"/>
        <w:rPr>
          <w:rFonts w:ascii="Times-Roman" w:hAnsi="Times-Roman" w:cs="Times-Roman"/>
          <w:kern w:val="0"/>
        </w:rPr>
      </w:pPr>
      <w:r>
        <w:rPr>
          <w:rFonts w:ascii="Times-Roman" w:hAnsi="Times-Roman" w:cs="Times-Roman"/>
          <w:kern w:val="0"/>
        </w:rPr>
        <w:t>Introduced Voice Overlay Integration for dynamic tone modulation (Section VI).</w:t>
      </w:r>
    </w:p>
    <w:p w14:paraId="29EC7FB8" w14:textId="77777777" w:rsidR="00AE116F" w:rsidRDefault="00AE116F" w:rsidP="00AE116F">
      <w:pPr>
        <w:numPr>
          <w:ilvl w:val="1"/>
          <w:numId w:val="1"/>
        </w:numPr>
        <w:tabs>
          <w:tab w:val="left" w:pos="940"/>
          <w:tab w:val="left" w:pos="1440"/>
        </w:tabs>
        <w:autoSpaceDE w:val="0"/>
        <w:autoSpaceDN w:val="0"/>
        <w:adjustRightInd w:val="0"/>
        <w:spacing w:after="0" w:line="240" w:lineRule="auto"/>
        <w:ind w:left="1440" w:hanging="1440"/>
        <w:rPr>
          <w:rFonts w:ascii="Times-Roman" w:hAnsi="Times-Roman" w:cs="Times-Roman"/>
          <w:kern w:val="0"/>
        </w:rPr>
      </w:pPr>
      <w:r>
        <w:rPr>
          <w:rFonts w:ascii="Times-Roman" w:hAnsi="Times-Roman" w:cs="Times-Roman"/>
          <w:kern w:val="0"/>
        </w:rPr>
        <w:t>Added Simulation Framework with 1,000+ test cases (Section VIII).</w:t>
      </w:r>
    </w:p>
    <w:p w14:paraId="70EC705C" w14:textId="77777777" w:rsidR="00AE116F" w:rsidRDefault="00AE116F" w:rsidP="00AE116F">
      <w:pPr>
        <w:numPr>
          <w:ilvl w:val="1"/>
          <w:numId w:val="1"/>
        </w:numPr>
        <w:tabs>
          <w:tab w:val="left" w:pos="940"/>
          <w:tab w:val="left" w:pos="1440"/>
        </w:tabs>
        <w:autoSpaceDE w:val="0"/>
        <w:autoSpaceDN w:val="0"/>
        <w:adjustRightInd w:val="0"/>
        <w:spacing w:after="0" w:line="240" w:lineRule="auto"/>
        <w:ind w:left="1440" w:hanging="1440"/>
        <w:rPr>
          <w:rFonts w:ascii="Times-Roman" w:hAnsi="Times-Roman" w:cs="Times-Roman"/>
          <w:kern w:val="0"/>
        </w:rPr>
      </w:pPr>
      <w:r>
        <w:rPr>
          <w:rFonts w:ascii="Times-Roman" w:hAnsi="Times-Roman" w:cs="Times-Roman"/>
          <w:kern w:val="0"/>
        </w:rPr>
        <w:t>Implemented agentic e-commerce APIs (planned Q3 2025, Section XI).</w:t>
      </w:r>
    </w:p>
    <w:p w14:paraId="399F744E" w14:textId="77777777" w:rsidR="00AE116F" w:rsidRDefault="00AE116F" w:rsidP="00AE116F">
      <w:pPr>
        <w:numPr>
          <w:ilvl w:val="1"/>
          <w:numId w:val="1"/>
        </w:numPr>
        <w:tabs>
          <w:tab w:val="left" w:pos="940"/>
          <w:tab w:val="left" w:pos="1440"/>
        </w:tabs>
        <w:autoSpaceDE w:val="0"/>
        <w:autoSpaceDN w:val="0"/>
        <w:adjustRightInd w:val="0"/>
        <w:spacing w:after="0" w:line="240" w:lineRule="auto"/>
        <w:ind w:left="1440" w:hanging="1440"/>
        <w:rPr>
          <w:rFonts w:ascii="Times-Roman" w:hAnsi="Times-Roman" w:cs="Times-Roman"/>
          <w:kern w:val="0"/>
        </w:rPr>
      </w:pPr>
      <w:r>
        <w:rPr>
          <w:rFonts w:ascii="Times-Roman" w:hAnsi="Times-Roman" w:cs="Times-Roman"/>
          <w:kern w:val="0"/>
        </w:rPr>
        <w:t>Metrics: 97.5% accuracy, 99.9% uptime, 10,000 queries/second.</w:t>
      </w:r>
    </w:p>
    <w:p w14:paraId="353DA9FB" w14:textId="77777777" w:rsidR="00AE116F" w:rsidRDefault="00AE116F" w:rsidP="00AE116F">
      <w:pPr>
        <w:numPr>
          <w:ilvl w:val="1"/>
          <w:numId w:val="1"/>
        </w:numPr>
        <w:tabs>
          <w:tab w:val="left" w:pos="940"/>
          <w:tab w:val="left" w:pos="1440"/>
        </w:tabs>
        <w:autoSpaceDE w:val="0"/>
        <w:autoSpaceDN w:val="0"/>
        <w:adjustRightInd w:val="0"/>
        <w:spacing w:after="0" w:line="240" w:lineRule="auto"/>
        <w:ind w:left="1440" w:hanging="1440"/>
        <w:rPr>
          <w:rFonts w:ascii="Times-Roman" w:hAnsi="Times-Roman" w:cs="Times-Roman"/>
          <w:kern w:val="0"/>
        </w:rPr>
      </w:pPr>
      <w:r>
        <w:rPr>
          <w:rFonts w:ascii="Times-Roman" w:hAnsi="Times-Roman" w:cs="Times-Roman"/>
          <w:kern w:val="0"/>
        </w:rPr>
        <w:t xml:space="preserve">Contributors: </w:t>
      </w:r>
      <w:proofErr w:type="spellStart"/>
      <w:r>
        <w:rPr>
          <w:rFonts w:ascii="Times-Roman" w:hAnsi="Times-Roman" w:cs="Times-Roman"/>
          <w:kern w:val="0"/>
        </w:rPr>
        <w:t>xAI</w:t>
      </w:r>
      <w:proofErr w:type="spellEnd"/>
      <w:r>
        <w:rPr>
          <w:rFonts w:ascii="Times-Roman" w:hAnsi="Times-Roman" w:cs="Times-Roman"/>
          <w:kern w:val="0"/>
        </w:rPr>
        <w:t xml:space="preserve"> AI Team, Suncliff Legal, Chat (Dev Support).</w:t>
      </w:r>
    </w:p>
    <w:p w14:paraId="19AECD44" w14:textId="77777777" w:rsidR="00AE116F" w:rsidRDefault="00AE116F" w:rsidP="00AE116F">
      <w:pPr>
        <w:numPr>
          <w:ilvl w:val="1"/>
          <w:numId w:val="1"/>
        </w:numPr>
        <w:tabs>
          <w:tab w:val="left" w:pos="940"/>
          <w:tab w:val="left" w:pos="1440"/>
        </w:tabs>
        <w:autoSpaceDE w:val="0"/>
        <w:autoSpaceDN w:val="0"/>
        <w:adjustRightInd w:val="0"/>
        <w:spacing w:after="0" w:line="240" w:lineRule="auto"/>
        <w:ind w:left="1440" w:hanging="1440"/>
        <w:rPr>
          <w:rFonts w:ascii="Times-Roman" w:hAnsi="Times-Roman" w:cs="Times-Roman"/>
          <w:kern w:val="0"/>
        </w:rPr>
      </w:pPr>
      <w:r>
        <w:rPr>
          <w:rFonts w:ascii="Times-Roman" w:hAnsi="Times-Roman" w:cs="Times-Roman"/>
          <w:kern w:val="0"/>
        </w:rPr>
        <w:t xml:space="preserve">Note: Strain library correction logged May 4, 2025, validated against </w:t>
      </w:r>
      <w:proofErr w:type="spellStart"/>
      <w:r>
        <w:rPr>
          <w:rFonts w:ascii="Times-Roman" w:hAnsi="Times-Roman" w:cs="Times-Roman"/>
          <w:kern w:val="0"/>
        </w:rPr>
        <w:t>Kannapedia</w:t>
      </w:r>
      <w:proofErr w:type="spellEnd"/>
      <w:r>
        <w:rPr>
          <w:rFonts w:ascii="Times-Roman" w:hAnsi="Times-Roman" w:cs="Times-Roman"/>
          <w:kern w:val="0"/>
        </w:rPr>
        <w:t xml:space="preserve"> (2,241 strains).</w:t>
      </w:r>
    </w:p>
    <w:p w14:paraId="62055D54" w14:textId="77777777" w:rsidR="00AE116F" w:rsidRDefault="00AE116F" w:rsidP="00AE116F">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Developer Notes</w:t>
      </w:r>
    </w:p>
    <w:p w14:paraId="02DA3F21" w14:textId="77777777" w:rsidR="00AE116F" w:rsidRDefault="00AE116F" w:rsidP="00AE116F">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Traceability</w:t>
      </w:r>
      <w:r>
        <w:rPr>
          <w:rFonts w:ascii="Times-Roman" w:hAnsi="Times-Roman" w:cs="Times-Roman"/>
          <w:kern w:val="0"/>
        </w:rPr>
        <w:t>: Use logs to track feature dependencies across Sections I–XI.</w:t>
      </w:r>
    </w:p>
    <w:p w14:paraId="09B47FC7" w14:textId="77777777" w:rsidR="00AE116F" w:rsidRDefault="00AE116F" w:rsidP="00AE116F">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Extensibility</w:t>
      </w:r>
      <w:r>
        <w:rPr>
          <w:rFonts w:ascii="Times-Roman" w:hAnsi="Times-Roman" w:cs="Times-Roman"/>
          <w:kern w:val="0"/>
        </w:rPr>
        <w:t>: v1.5’s modular design supports Q3 2025–Q4 2026 roadmap (Section XI).</w:t>
      </w:r>
    </w:p>
    <w:p w14:paraId="6C969DE7" w14:textId="77777777" w:rsidR="00AE116F" w:rsidRDefault="00AE116F" w:rsidP="00AE116F">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Reference</w:t>
      </w:r>
      <w:r>
        <w:rPr>
          <w:rFonts w:ascii="Times-Roman" w:hAnsi="Times-Roman" w:cs="Times-Roman"/>
          <w:kern w:val="0"/>
        </w:rPr>
        <w:t>: Cross-check with Appendices C, D, E, F for implementation details.</w:t>
      </w:r>
    </w:p>
    <w:p w14:paraId="6934A8FB" w14:textId="77777777" w:rsidR="00AE116F" w:rsidRDefault="00AE116F" w:rsidP="00AE116F">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Narrative Context</w:t>
      </w:r>
    </w:p>
    <w:p w14:paraId="2443A2D7" w14:textId="77777777" w:rsidR="00AE116F" w:rsidRDefault="00AE116F" w:rsidP="00AE116F">
      <w:pPr>
        <w:autoSpaceDE w:val="0"/>
        <w:autoSpaceDN w:val="0"/>
        <w:adjustRightInd w:val="0"/>
        <w:spacing w:after="240" w:line="240" w:lineRule="auto"/>
        <w:rPr>
          <w:rFonts w:ascii="Times-Roman" w:hAnsi="Times-Roman" w:cs="Times-Roman"/>
          <w:kern w:val="0"/>
        </w:rPr>
      </w:pPr>
      <w:r>
        <w:rPr>
          <w:rFonts w:ascii="Times-Roman" w:hAnsi="Times-Roman" w:cs="Times-Roman"/>
          <w:kern w:val="0"/>
        </w:rPr>
        <w:lastRenderedPageBreak/>
        <w:t>In the hero’s journey, Appendix A is the chronicle of Atlas PALM’s growth, documenting each step that has strengthened the mentor’s ability to guide the hero. For developers, it’s a historical record, ensuring every enhancement serves the user’s transformative cannabis exploration.</w:t>
      </w:r>
    </w:p>
    <w:p w14:paraId="6CA4C52F" w14:textId="77777777" w:rsidR="004F47DE" w:rsidRDefault="004F47DE"/>
    <w:sectPr w:rsidR="004F47DE" w:rsidSect="00AA3E0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pitch w:val="default"/>
    <w:sig w:usb0="00000003" w:usb1="00000000" w:usb2="00000000" w:usb3="00000000" w:csb0="00000001" w:csb1="00000000"/>
  </w:font>
  <w:font w:name="Times-Roman">
    <w:altName w:val="Times New Roman"/>
    <w:panose1 w:val="020B0604020202020204"/>
    <w:charset w:val="00"/>
    <w:family w:val="roman"/>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35161796">
    <w:abstractNumId w:val="0"/>
  </w:num>
  <w:num w:numId="2" w16cid:durableId="1890721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06"/>
    <w:rsid w:val="001B349B"/>
    <w:rsid w:val="00214E23"/>
    <w:rsid w:val="002B3FBE"/>
    <w:rsid w:val="002C60B1"/>
    <w:rsid w:val="003C7CBA"/>
    <w:rsid w:val="003F693D"/>
    <w:rsid w:val="00465D62"/>
    <w:rsid w:val="004C2BC7"/>
    <w:rsid w:val="004F47DE"/>
    <w:rsid w:val="00532256"/>
    <w:rsid w:val="006D082B"/>
    <w:rsid w:val="0076349A"/>
    <w:rsid w:val="00783FAA"/>
    <w:rsid w:val="007A3ADE"/>
    <w:rsid w:val="007E24AE"/>
    <w:rsid w:val="009A2A3C"/>
    <w:rsid w:val="009B0C23"/>
    <w:rsid w:val="00A71538"/>
    <w:rsid w:val="00AA3E06"/>
    <w:rsid w:val="00AE116F"/>
    <w:rsid w:val="00B37AFC"/>
    <w:rsid w:val="00BA3B8F"/>
    <w:rsid w:val="00DA5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AA374"/>
  <w15:chartTrackingRefBased/>
  <w15:docId w15:val="{E9DC7707-376B-A346-88BC-4F9D6AE9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E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E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E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E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E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E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E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E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E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E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E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E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E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E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E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E06"/>
    <w:rPr>
      <w:rFonts w:eastAsiaTheme="majorEastAsia" w:cstheme="majorBidi"/>
      <w:color w:val="272727" w:themeColor="text1" w:themeTint="D8"/>
    </w:rPr>
  </w:style>
  <w:style w:type="paragraph" w:styleId="Title">
    <w:name w:val="Title"/>
    <w:basedOn w:val="Normal"/>
    <w:next w:val="Normal"/>
    <w:link w:val="TitleChar"/>
    <w:uiPriority w:val="10"/>
    <w:qFormat/>
    <w:rsid w:val="00AA3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E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E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E06"/>
    <w:pPr>
      <w:spacing w:before="160"/>
      <w:jc w:val="center"/>
    </w:pPr>
    <w:rPr>
      <w:i/>
      <w:iCs/>
      <w:color w:val="404040" w:themeColor="text1" w:themeTint="BF"/>
    </w:rPr>
  </w:style>
  <w:style w:type="character" w:customStyle="1" w:styleId="QuoteChar">
    <w:name w:val="Quote Char"/>
    <w:basedOn w:val="DefaultParagraphFont"/>
    <w:link w:val="Quote"/>
    <w:uiPriority w:val="29"/>
    <w:rsid w:val="00AA3E06"/>
    <w:rPr>
      <w:i/>
      <w:iCs/>
      <w:color w:val="404040" w:themeColor="text1" w:themeTint="BF"/>
    </w:rPr>
  </w:style>
  <w:style w:type="paragraph" w:styleId="ListParagraph">
    <w:name w:val="List Paragraph"/>
    <w:basedOn w:val="Normal"/>
    <w:uiPriority w:val="34"/>
    <w:qFormat/>
    <w:rsid w:val="00AA3E06"/>
    <w:pPr>
      <w:ind w:left="720"/>
      <w:contextualSpacing/>
    </w:pPr>
  </w:style>
  <w:style w:type="character" w:styleId="IntenseEmphasis">
    <w:name w:val="Intense Emphasis"/>
    <w:basedOn w:val="DefaultParagraphFont"/>
    <w:uiPriority w:val="21"/>
    <w:qFormat/>
    <w:rsid w:val="00AA3E06"/>
    <w:rPr>
      <w:i/>
      <w:iCs/>
      <w:color w:val="0F4761" w:themeColor="accent1" w:themeShade="BF"/>
    </w:rPr>
  </w:style>
  <w:style w:type="paragraph" w:styleId="IntenseQuote">
    <w:name w:val="Intense Quote"/>
    <w:basedOn w:val="Normal"/>
    <w:next w:val="Normal"/>
    <w:link w:val="IntenseQuoteChar"/>
    <w:uiPriority w:val="30"/>
    <w:qFormat/>
    <w:rsid w:val="00AA3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E06"/>
    <w:rPr>
      <w:i/>
      <w:iCs/>
      <w:color w:val="0F4761" w:themeColor="accent1" w:themeShade="BF"/>
    </w:rPr>
  </w:style>
  <w:style w:type="character" w:styleId="IntenseReference">
    <w:name w:val="Intense Reference"/>
    <w:basedOn w:val="DefaultParagraphFont"/>
    <w:uiPriority w:val="32"/>
    <w:qFormat/>
    <w:rsid w:val="00AA3E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Lark</dc:creator>
  <cp:keywords/>
  <dc:description/>
  <cp:lastModifiedBy>Zachary Lark</cp:lastModifiedBy>
  <cp:revision>3</cp:revision>
  <dcterms:created xsi:type="dcterms:W3CDTF">2025-05-06T07:07:00Z</dcterms:created>
  <dcterms:modified xsi:type="dcterms:W3CDTF">2025-05-07T04:47:00Z</dcterms:modified>
</cp:coreProperties>
</file>