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7EFCC" w14:textId="77777777" w:rsidR="00496ECB" w:rsidRPr="00496ECB" w:rsidRDefault="00496ECB" w:rsidP="00496ECB">
      <w:pPr>
        <w:autoSpaceDE w:val="0"/>
        <w:autoSpaceDN w:val="0"/>
        <w:adjustRightInd w:val="0"/>
        <w:spacing w:after="240" w:line="240" w:lineRule="auto"/>
        <w:rPr>
          <w:rFonts w:asciiTheme="majorHAnsi" w:hAnsiTheme="majorHAnsi" w:cs="Times-Bold"/>
          <w:b/>
          <w:bCs/>
          <w:kern w:val="0"/>
          <w:sz w:val="48"/>
          <w:szCs w:val="48"/>
        </w:rPr>
      </w:pPr>
      <w:r w:rsidRPr="00496ECB">
        <w:rPr>
          <w:rFonts w:asciiTheme="majorHAnsi" w:hAnsiTheme="majorHAnsi" w:cs="Times-Bold"/>
          <w:b/>
          <w:bCs/>
          <w:kern w:val="0"/>
          <w:sz w:val="48"/>
          <w:szCs w:val="48"/>
        </w:rPr>
        <w:t>Table of Contents</w:t>
      </w:r>
    </w:p>
    <w:p w14:paraId="69D7313C" w14:textId="0F07CB47" w:rsidR="00496ECB" w:rsidRPr="00496ECB" w:rsidRDefault="00496ECB" w:rsidP="00496ECB">
      <w:pPr>
        <w:autoSpaceDE w:val="0"/>
        <w:autoSpaceDN w:val="0"/>
        <w:adjustRightInd w:val="0"/>
        <w:spacing w:after="120" w:line="288" w:lineRule="auto"/>
        <w:rPr>
          <w:rFonts w:cs="Times-Roman"/>
          <w:kern w:val="0"/>
        </w:rPr>
      </w:pPr>
      <w:r w:rsidRPr="00496ECB">
        <w:rPr>
          <w:rFonts w:cs="Times-Roman"/>
          <w:kern w:val="0"/>
        </w:rPr>
        <w:t xml:space="preserve">This Table of Contents outlines the structure of </w:t>
      </w:r>
      <w:r w:rsidRPr="00496ECB">
        <w:rPr>
          <w:rFonts w:cs="Times-Italic"/>
          <w:i/>
          <w:iCs/>
          <w:kern w:val="0"/>
        </w:rPr>
        <w:t>Atlas PALM v1.5</w:t>
      </w:r>
      <w:r w:rsidRPr="00496ECB">
        <w:rPr>
          <w:rFonts w:cs="Times-Roman"/>
          <w:kern w:val="0"/>
        </w:rPr>
        <w:t xml:space="preserve">, a cannabis-focused AI platform designed to empower users—heroes in their journey—through personalized, mentor-guided insights. It catalogs all sections and supporting materials, providing the development team, including Chat, with a clear roadmap to navigate the document’s technical, operational, and ethical components. Each section details a layer of the Atlas Insight Engine, culminating in a forward-looking roadmap, while the Table of Appendices summarizes critical resources. </w:t>
      </w:r>
    </w:p>
    <w:tbl>
      <w:tblPr>
        <w:tblW w:w="5000" w:type="pct"/>
        <w:tblBorders>
          <w:insideH w:val="single" w:sz="4" w:space="0" w:color="808080" w:themeColor="background1" w:themeShade="80"/>
        </w:tblBorders>
        <w:tblLook w:val="0000" w:firstRow="0" w:lastRow="0" w:firstColumn="0" w:lastColumn="0" w:noHBand="0" w:noVBand="0"/>
      </w:tblPr>
      <w:tblGrid>
        <w:gridCol w:w="920"/>
        <w:gridCol w:w="1613"/>
        <w:gridCol w:w="6827"/>
      </w:tblGrid>
      <w:tr w:rsidR="00496ECB" w:rsidRPr="00496ECB" w14:paraId="064E434E" w14:textId="77777777" w:rsidTr="00496ECB">
        <w:tblPrEx>
          <w:tblCellMar>
            <w:top w:w="0" w:type="dxa"/>
            <w:bottom w:w="0" w:type="dxa"/>
          </w:tblCellMar>
        </w:tblPrEx>
        <w:tc>
          <w:tcPr>
            <w:tcW w:w="247" w:type="pct"/>
            <w:tcMar>
              <w:top w:w="20" w:type="nil"/>
              <w:left w:w="0" w:type="dxa"/>
              <w:bottom w:w="86" w:type="dxa"/>
              <w:right w:w="144" w:type="dxa"/>
            </w:tcMar>
          </w:tcPr>
          <w:p w14:paraId="7F88B99D" w14:textId="77777777" w:rsidR="00496ECB" w:rsidRPr="00496ECB" w:rsidRDefault="00496ECB">
            <w:pPr>
              <w:autoSpaceDE w:val="0"/>
              <w:autoSpaceDN w:val="0"/>
              <w:adjustRightInd w:val="0"/>
              <w:spacing w:after="0" w:line="240" w:lineRule="auto"/>
              <w:jc w:val="center"/>
              <w:rPr>
                <w:rFonts w:asciiTheme="majorHAnsi" w:hAnsiTheme="majorHAnsi" w:cs="Times-Bold"/>
                <w:b/>
                <w:bCs/>
                <w:kern w:val="0"/>
              </w:rPr>
            </w:pPr>
            <w:r w:rsidRPr="00496ECB">
              <w:rPr>
                <w:rFonts w:asciiTheme="majorHAnsi" w:hAnsiTheme="majorHAnsi" w:cs="Times-Bold"/>
                <w:b/>
                <w:bCs/>
                <w:kern w:val="0"/>
              </w:rPr>
              <w:t>Section</w:t>
            </w:r>
          </w:p>
        </w:tc>
        <w:tc>
          <w:tcPr>
            <w:tcW w:w="833" w:type="pct"/>
            <w:tcMar>
              <w:top w:w="20" w:type="nil"/>
              <w:left w:w="20" w:type="nil"/>
              <w:bottom w:w="86" w:type="dxa"/>
              <w:right w:w="20" w:type="nil"/>
            </w:tcMar>
          </w:tcPr>
          <w:p w14:paraId="3B45AEAD" w14:textId="7FA17DE1" w:rsidR="00496ECB" w:rsidRPr="00496ECB" w:rsidRDefault="00496ECB" w:rsidP="00496ECB">
            <w:pPr>
              <w:autoSpaceDE w:val="0"/>
              <w:autoSpaceDN w:val="0"/>
              <w:adjustRightInd w:val="0"/>
              <w:spacing w:after="0" w:line="240" w:lineRule="auto"/>
              <w:jc w:val="center"/>
              <w:rPr>
                <w:rFonts w:asciiTheme="majorHAnsi" w:hAnsiTheme="majorHAnsi" w:cs="Times-Bold"/>
                <w:b/>
                <w:bCs/>
                <w:kern w:val="0"/>
              </w:rPr>
            </w:pPr>
            <w:r w:rsidRPr="00496ECB">
              <w:rPr>
                <w:rFonts w:asciiTheme="majorHAnsi" w:hAnsiTheme="majorHAnsi" w:cs="Times-Bold"/>
                <w:b/>
                <w:bCs/>
                <w:kern w:val="0"/>
              </w:rPr>
              <w:t>Title</w:t>
            </w:r>
          </w:p>
        </w:tc>
        <w:tc>
          <w:tcPr>
            <w:tcW w:w="3920" w:type="pct"/>
            <w:tcMar>
              <w:top w:w="20" w:type="nil"/>
              <w:left w:w="20" w:type="nil"/>
              <w:bottom w:w="86" w:type="dxa"/>
              <w:right w:w="20" w:type="nil"/>
            </w:tcMar>
          </w:tcPr>
          <w:p w14:paraId="7B4AF963" w14:textId="77777777" w:rsidR="00496ECB" w:rsidRPr="00496ECB" w:rsidRDefault="00496ECB">
            <w:pPr>
              <w:autoSpaceDE w:val="0"/>
              <w:autoSpaceDN w:val="0"/>
              <w:adjustRightInd w:val="0"/>
              <w:spacing w:after="0" w:line="240" w:lineRule="auto"/>
              <w:jc w:val="center"/>
              <w:rPr>
                <w:rFonts w:asciiTheme="majorHAnsi" w:hAnsiTheme="majorHAnsi" w:cs="Times-Bold"/>
                <w:b/>
                <w:bCs/>
                <w:kern w:val="0"/>
              </w:rPr>
            </w:pPr>
            <w:r w:rsidRPr="00496ECB">
              <w:rPr>
                <w:rFonts w:asciiTheme="majorHAnsi" w:hAnsiTheme="majorHAnsi" w:cs="Times-Bold"/>
                <w:b/>
                <w:bCs/>
                <w:kern w:val="0"/>
              </w:rPr>
              <w:t>Description</w:t>
            </w:r>
          </w:p>
        </w:tc>
      </w:tr>
      <w:tr w:rsidR="00496ECB" w:rsidRPr="00496ECB" w14:paraId="17FE4478" w14:textId="77777777" w:rsidTr="00496ECB">
        <w:tblPrEx>
          <w:tblCellMar>
            <w:top w:w="0" w:type="dxa"/>
            <w:bottom w:w="0" w:type="dxa"/>
          </w:tblCellMar>
        </w:tblPrEx>
        <w:tc>
          <w:tcPr>
            <w:tcW w:w="247" w:type="pct"/>
            <w:tcMar>
              <w:top w:w="20" w:type="nil"/>
              <w:left w:w="29" w:type="dxa"/>
              <w:bottom w:w="20" w:type="nil"/>
              <w:right w:w="115" w:type="dxa"/>
            </w:tcMar>
          </w:tcPr>
          <w:p w14:paraId="0378B007"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w:t>
            </w:r>
          </w:p>
        </w:tc>
        <w:tc>
          <w:tcPr>
            <w:tcW w:w="833" w:type="pct"/>
            <w:tcMar>
              <w:top w:w="20" w:type="nil"/>
              <w:left w:w="43" w:type="dxa"/>
              <w:bottom w:w="20" w:type="nil"/>
              <w:right w:w="144" w:type="dxa"/>
            </w:tcMar>
          </w:tcPr>
          <w:p w14:paraId="419280F1" w14:textId="2C697046"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Introduction and Overview</w:t>
            </w:r>
          </w:p>
          <w:p w14:paraId="4805A1DB" w14:textId="77777777" w:rsidR="00496ECB" w:rsidRPr="00496ECB" w:rsidRDefault="00496ECB" w:rsidP="00496ECB">
            <w:pPr>
              <w:autoSpaceDE w:val="0"/>
              <w:autoSpaceDN w:val="0"/>
              <w:adjustRightInd w:val="0"/>
              <w:spacing w:after="0" w:line="240" w:lineRule="auto"/>
              <w:rPr>
                <w:rFonts w:cs="Times-Roman"/>
                <w:kern w:val="0"/>
              </w:rPr>
            </w:pPr>
          </w:p>
        </w:tc>
        <w:tc>
          <w:tcPr>
            <w:tcW w:w="3920" w:type="pct"/>
            <w:tcMar>
              <w:top w:w="20" w:type="nil"/>
              <w:left w:w="20" w:type="nil"/>
              <w:bottom w:w="20" w:type="nil"/>
              <w:right w:w="20" w:type="nil"/>
            </w:tcMar>
          </w:tcPr>
          <w:p w14:paraId="41E62F0F"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Introduces Atlas PALM v1.5, outlining its mission to deliver personalized cannabis insights via a six-layer architecture. Highlights v1.5’s advancements (e.g., Voice Overlay Integration) and the user-as-hero narrative.</w:t>
            </w:r>
          </w:p>
          <w:p w14:paraId="1B1F39EF"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63AC6B8A" w14:textId="77777777" w:rsidTr="00496ECB">
        <w:tblPrEx>
          <w:tblCellMar>
            <w:top w:w="0" w:type="dxa"/>
            <w:bottom w:w="0" w:type="dxa"/>
          </w:tblCellMar>
        </w:tblPrEx>
        <w:tc>
          <w:tcPr>
            <w:tcW w:w="247" w:type="pct"/>
            <w:tcMar>
              <w:top w:w="20" w:type="nil"/>
              <w:left w:w="29" w:type="dxa"/>
              <w:bottom w:w="20" w:type="nil"/>
              <w:right w:w="115" w:type="dxa"/>
            </w:tcMar>
          </w:tcPr>
          <w:p w14:paraId="10955D61"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II</w:t>
            </w:r>
          </w:p>
        </w:tc>
        <w:tc>
          <w:tcPr>
            <w:tcW w:w="833" w:type="pct"/>
            <w:tcMar>
              <w:top w:w="20" w:type="nil"/>
              <w:left w:w="43" w:type="dxa"/>
              <w:bottom w:w="20" w:type="nil"/>
              <w:right w:w="144" w:type="dxa"/>
            </w:tcMar>
          </w:tcPr>
          <w:p w14:paraId="4D2C050A"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Input Interpretation &amp; Cultural Context</w:t>
            </w:r>
          </w:p>
        </w:tc>
        <w:tc>
          <w:tcPr>
            <w:tcW w:w="3920" w:type="pct"/>
            <w:tcMar>
              <w:top w:w="20" w:type="nil"/>
              <w:left w:w="20" w:type="nil"/>
              <w:bottom w:w="20" w:type="nil"/>
              <w:right w:w="20" w:type="nil"/>
            </w:tcMar>
          </w:tcPr>
          <w:p w14:paraId="6A9E5CBC"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Details the layer that parses user queries, detects sentiment, and applies cultural filters for relevance and compliance across 50+ regions, ensuring contextually appropriate responses.</w:t>
            </w:r>
          </w:p>
          <w:p w14:paraId="2CCA3051"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721C85B9" w14:textId="77777777" w:rsidTr="00496ECB">
        <w:tblPrEx>
          <w:tblCellMar>
            <w:top w:w="0" w:type="dxa"/>
            <w:bottom w:w="0" w:type="dxa"/>
          </w:tblCellMar>
        </w:tblPrEx>
        <w:tc>
          <w:tcPr>
            <w:tcW w:w="247" w:type="pct"/>
            <w:tcMar>
              <w:top w:w="20" w:type="nil"/>
              <w:left w:w="29" w:type="dxa"/>
              <w:bottom w:w="20" w:type="nil"/>
              <w:right w:w="115" w:type="dxa"/>
            </w:tcMar>
          </w:tcPr>
          <w:p w14:paraId="68A67E59"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III</w:t>
            </w:r>
          </w:p>
        </w:tc>
        <w:tc>
          <w:tcPr>
            <w:tcW w:w="833" w:type="pct"/>
            <w:tcMar>
              <w:top w:w="20" w:type="nil"/>
              <w:left w:w="43" w:type="dxa"/>
              <w:bottom w:w="20" w:type="nil"/>
              <w:right w:w="144" w:type="dxa"/>
            </w:tcMar>
          </w:tcPr>
          <w:p w14:paraId="564A07C7"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Intent &amp; Journey Mapping</w:t>
            </w:r>
          </w:p>
        </w:tc>
        <w:tc>
          <w:tcPr>
            <w:tcW w:w="3920" w:type="pct"/>
            <w:tcMar>
              <w:top w:w="20" w:type="nil"/>
              <w:left w:w="20" w:type="nil"/>
              <w:bottom w:w="20" w:type="nil"/>
              <w:right w:w="20" w:type="nil"/>
            </w:tcMar>
          </w:tcPr>
          <w:p w14:paraId="5A4F5320"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Describes the layer that identifies user intent and maps their journey stage (e.g., exploration, optimization), driving personalized guidance through dynamic state tracking.</w:t>
            </w:r>
          </w:p>
          <w:p w14:paraId="71194943"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103EA0BC" w14:textId="77777777" w:rsidTr="00496ECB">
        <w:tblPrEx>
          <w:tblCellMar>
            <w:top w:w="0" w:type="dxa"/>
            <w:bottom w:w="0" w:type="dxa"/>
          </w:tblCellMar>
        </w:tblPrEx>
        <w:tc>
          <w:tcPr>
            <w:tcW w:w="247" w:type="pct"/>
            <w:tcMar>
              <w:top w:w="20" w:type="nil"/>
              <w:left w:w="29" w:type="dxa"/>
              <w:bottom w:w="20" w:type="nil"/>
              <w:right w:w="115" w:type="dxa"/>
            </w:tcMar>
          </w:tcPr>
          <w:p w14:paraId="4B430A1C"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IV</w:t>
            </w:r>
          </w:p>
        </w:tc>
        <w:tc>
          <w:tcPr>
            <w:tcW w:w="833" w:type="pct"/>
            <w:tcMar>
              <w:top w:w="20" w:type="nil"/>
              <w:left w:w="43" w:type="dxa"/>
              <w:bottom w:w="20" w:type="nil"/>
              <w:right w:w="144" w:type="dxa"/>
            </w:tcMar>
          </w:tcPr>
          <w:p w14:paraId="475A6C77"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Mentor Matrix &amp; Dynamic Personality Model</w:t>
            </w:r>
          </w:p>
          <w:p w14:paraId="65E7B068" w14:textId="77777777" w:rsidR="00496ECB" w:rsidRPr="00496ECB" w:rsidRDefault="00496ECB" w:rsidP="00496ECB">
            <w:pPr>
              <w:autoSpaceDE w:val="0"/>
              <w:autoSpaceDN w:val="0"/>
              <w:adjustRightInd w:val="0"/>
              <w:spacing w:after="0" w:line="240" w:lineRule="auto"/>
              <w:rPr>
                <w:rFonts w:cs="Times-Roman"/>
                <w:kern w:val="0"/>
              </w:rPr>
            </w:pPr>
          </w:p>
        </w:tc>
        <w:tc>
          <w:tcPr>
            <w:tcW w:w="3920" w:type="pct"/>
            <w:tcMar>
              <w:top w:w="20" w:type="nil"/>
              <w:left w:w="20" w:type="nil"/>
              <w:bottom w:w="20" w:type="nil"/>
              <w:right w:w="20" w:type="nil"/>
            </w:tcMar>
          </w:tcPr>
          <w:p w14:paraId="792C6E01"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Explains the emotional intelligence layer, assigning mentor archetypes (e.g., Sage, Guardian) and voice profiles (e.g., Jake George) to deliver empathetic, narrative-coherent responses.</w:t>
            </w:r>
          </w:p>
          <w:p w14:paraId="046776A1"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0AFC7B7C" w14:textId="77777777" w:rsidTr="00496ECB">
        <w:tblPrEx>
          <w:tblCellMar>
            <w:top w:w="0" w:type="dxa"/>
            <w:bottom w:w="0" w:type="dxa"/>
          </w:tblCellMar>
        </w:tblPrEx>
        <w:tc>
          <w:tcPr>
            <w:tcW w:w="247" w:type="pct"/>
            <w:tcMar>
              <w:top w:w="20" w:type="nil"/>
              <w:left w:w="29" w:type="dxa"/>
              <w:bottom w:w="20" w:type="nil"/>
              <w:right w:w="115" w:type="dxa"/>
            </w:tcMar>
          </w:tcPr>
          <w:p w14:paraId="4DA90026"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V</w:t>
            </w:r>
          </w:p>
        </w:tc>
        <w:tc>
          <w:tcPr>
            <w:tcW w:w="833" w:type="pct"/>
            <w:tcMar>
              <w:top w:w="20" w:type="nil"/>
              <w:left w:w="43" w:type="dxa"/>
              <w:bottom w:w="20" w:type="nil"/>
              <w:right w:w="144" w:type="dxa"/>
            </w:tcMar>
          </w:tcPr>
          <w:p w14:paraId="67777FF4"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Domain Expertise Layer</w:t>
            </w:r>
          </w:p>
        </w:tc>
        <w:tc>
          <w:tcPr>
            <w:tcW w:w="3920" w:type="pct"/>
            <w:tcMar>
              <w:top w:w="20" w:type="nil"/>
              <w:left w:w="20" w:type="nil"/>
              <w:bottom w:w="20" w:type="nil"/>
              <w:right w:w="20" w:type="nil"/>
            </w:tcMar>
          </w:tcPr>
          <w:p w14:paraId="65F35501"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Covers the knowledge core, housing a Cannabis Knowledge Graph with a 2,000+ strain library, real-time regulatory data, and personalized strain matching, ensuring accurate, compliant insights.</w:t>
            </w:r>
          </w:p>
          <w:p w14:paraId="6E749EC9"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7355F377" w14:textId="77777777" w:rsidTr="00496ECB">
        <w:tblPrEx>
          <w:tblCellMar>
            <w:top w:w="0" w:type="dxa"/>
            <w:bottom w:w="0" w:type="dxa"/>
          </w:tblCellMar>
        </w:tblPrEx>
        <w:tc>
          <w:tcPr>
            <w:tcW w:w="247" w:type="pct"/>
            <w:tcMar>
              <w:top w:w="20" w:type="nil"/>
              <w:left w:w="29" w:type="dxa"/>
              <w:bottom w:w="20" w:type="nil"/>
              <w:right w:w="115" w:type="dxa"/>
            </w:tcMar>
          </w:tcPr>
          <w:p w14:paraId="1319FE45"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VI</w:t>
            </w:r>
          </w:p>
        </w:tc>
        <w:tc>
          <w:tcPr>
            <w:tcW w:w="833" w:type="pct"/>
            <w:tcMar>
              <w:top w:w="20" w:type="nil"/>
              <w:left w:w="43" w:type="dxa"/>
              <w:bottom w:w="20" w:type="nil"/>
              <w:right w:w="144" w:type="dxa"/>
            </w:tcMar>
          </w:tcPr>
          <w:p w14:paraId="5D7713E4"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Output Composition &amp; Conversation Strategy</w:t>
            </w:r>
          </w:p>
          <w:p w14:paraId="673C55B6" w14:textId="7FAE4F71" w:rsidR="00496ECB" w:rsidRPr="00496ECB" w:rsidRDefault="00496ECB" w:rsidP="00496ECB">
            <w:pPr>
              <w:autoSpaceDE w:val="0"/>
              <w:autoSpaceDN w:val="0"/>
              <w:adjustRightInd w:val="0"/>
              <w:spacing w:after="0" w:line="240" w:lineRule="auto"/>
              <w:rPr>
                <w:rFonts w:cs="Times-Roman"/>
                <w:kern w:val="0"/>
              </w:rPr>
            </w:pPr>
          </w:p>
        </w:tc>
        <w:tc>
          <w:tcPr>
            <w:tcW w:w="3920" w:type="pct"/>
            <w:tcMar>
              <w:top w:w="20" w:type="nil"/>
              <w:left w:w="20" w:type="nil"/>
              <w:bottom w:w="20" w:type="nil"/>
              <w:right w:w="20" w:type="nil"/>
            </w:tcMar>
          </w:tcPr>
          <w:p w14:paraId="10B10D3F"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Outlines the layer that crafts clear, emotionally attuned responses, integrating mentor tones and domain data to guide users with actionable recommendations.</w:t>
            </w:r>
          </w:p>
        </w:tc>
      </w:tr>
      <w:tr w:rsidR="00496ECB" w:rsidRPr="00496ECB" w14:paraId="793D0A5D" w14:textId="77777777" w:rsidTr="00496ECB">
        <w:tblPrEx>
          <w:tblCellMar>
            <w:top w:w="0" w:type="dxa"/>
            <w:bottom w:w="0" w:type="dxa"/>
          </w:tblCellMar>
        </w:tblPrEx>
        <w:tc>
          <w:tcPr>
            <w:tcW w:w="247" w:type="pct"/>
            <w:tcMar>
              <w:top w:w="20" w:type="nil"/>
              <w:left w:w="29" w:type="dxa"/>
              <w:bottom w:w="20" w:type="nil"/>
              <w:right w:w="115" w:type="dxa"/>
            </w:tcMar>
          </w:tcPr>
          <w:p w14:paraId="436A044E"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lastRenderedPageBreak/>
              <w:t>VII</w:t>
            </w:r>
          </w:p>
        </w:tc>
        <w:tc>
          <w:tcPr>
            <w:tcW w:w="833" w:type="pct"/>
            <w:tcMar>
              <w:top w:w="20" w:type="nil"/>
              <w:left w:w="43" w:type="dxa"/>
              <w:bottom w:w="20" w:type="nil"/>
              <w:right w:w="144" w:type="dxa"/>
            </w:tcMar>
          </w:tcPr>
          <w:p w14:paraId="733758AA"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Feedback &amp; Learning Layer</w:t>
            </w:r>
          </w:p>
          <w:p w14:paraId="553409B7" w14:textId="77777777" w:rsidR="00496ECB" w:rsidRPr="00496ECB" w:rsidRDefault="00496ECB" w:rsidP="00496ECB">
            <w:pPr>
              <w:autoSpaceDE w:val="0"/>
              <w:autoSpaceDN w:val="0"/>
              <w:adjustRightInd w:val="0"/>
              <w:spacing w:after="0" w:line="240" w:lineRule="auto"/>
              <w:rPr>
                <w:rFonts w:cs="Times-Roman"/>
                <w:kern w:val="0"/>
              </w:rPr>
            </w:pPr>
          </w:p>
        </w:tc>
        <w:tc>
          <w:tcPr>
            <w:tcW w:w="3920" w:type="pct"/>
            <w:tcMar>
              <w:top w:w="20" w:type="nil"/>
              <w:left w:w="20" w:type="nil"/>
              <w:bottom w:w="20" w:type="nil"/>
              <w:right w:w="20" w:type="nil"/>
            </w:tcMar>
          </w:tcPr>
          <w:p w14:paraId="24EA6604"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Details the adaptive layer that collects explicit, behavioral, and conversational feedback, driving real-time and longitudinal improvements to enhance personalization.</w:t>
            </w:r>
          </w:p>
          <w:p w14:paraId="4865821A"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0CD4D636" w14:textId="77777777" w:rsidTr="00496ECB">
        <w:tblPrEx>
          <w:tblCellMar>
            <w:top w:w="0" w:type="dxa"/>
            <w:bottom w:w="0" w:type="dxa"/>
          </w:tblCellMar>
        </w:tblPrEx>
        <w:tc>
          <w:tcPr>
            <w:tcW w:w="247" w:type="pct"/>
            <w:tcMar>
              <w:top w:w="20" w:type="nil"/>
              <w:left w:w="29" w:type="dxa"/>
              <w:bottom w:w="20" w:type="nil"/>
              <w:right w:w="115" w:type="dxa"/>
            </w:tcMar>
          </w:tcPr>
          <w:p w14:paraId="35C399B5"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VIII</w:t>
            </w:r>
          </w:p>
        </w:tc>
        <w:tc>
          <w:tcPr>
            <w:tcW w:w="833" w:type="pct"/>
            <w:tcMar>
              <w:top w:w="20" w:type="nil"/>
              <w:left w:w="43" w:type="dxa"/>
              <w:bottom w:w="20" w:type="nil"/>
              <w:right w:w="144" w:type="dxa"/>
            </w:tcMar>
          </w:tcPr>
          <w:p w14:paraId="2BEC7B6A"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Testing and Validation</w:t>
            </w:r>
          </w:p>
        </w:tc>
        <w:tc>
          <w:tcPr>
            <w:tcW w:w="3920" w:type="pct"/>
            <w:tcMar>
              <w:top w:w="20" w:type="nil"/>
              <w:left w:w="20" w:type="nil"/>
              <w:bottom w:w="20" w:type="nil"/>
              <w:right w:w="20" w:type="nil"/>
            </w:tcMar>
          </w:tcPr>
          <w:p w14:paraId="113F8D9A"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Describes the Simulation Framework, validating system performance through 1,000+ test cases, ensuring 97.5% accuracy, 100% compliance, and robust scalability.</w:t>
            </w:r>
          </w:p>
          <w:p w14:paraId="2A475000"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4A004D8C" w14:textId="77777777" w:rsidTr="00496ECB">
        <w:tblPrEx>
          <w:tblCellMar>
            <w:top w:w="0" w:type="dxa"/>
            <w:bottom w:w="0" w:type="dxa"/>
          </w:tblCellMar>
        </w:tblPrEx>
        <w:tc>
          <w:tcPr>
            <w:tcW w:w="247" w:type="pct"/>
            <w:tcMar>
              <w:top w:w="20" w:type="nil"/>
              <w:left w:w="29" w:type="dxa"/>
              <w:bottom w:w="20" w:type="nil"/>
              <w:right w:w="115" w:type="dxa"/>
            </w:tcMar>
          </w:tcPr>
          <w:p w14:paraId="5C2A90A9"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IX</w:t>
            </w:r>
          </w:p>
        </w:tc>
        <w:tc>
          <w:tcPr>
            <w:tcW w:w="833" w:type="pct"/>
            <w:tcMar>
              <w:top w:w="20" w:type="nil"/>
              <w:left w:w="43" w:type="dxa"/>
              <w:bottom w:w="20" w:type="nil"/>
              <w:right w:w="144" w:type="dxa"/>
            </w:tcMar>
          </w:tcPr>
          <w:p w14:paraId="67FC8254"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Integration and API Interfaces</w:t>
            </w:r>
          </w:p>
        </w:tc>
        <w:tc>
          <w:tcPr>
            <w:tcW w:w="3920" w:type="pct"/>
            <w:tcMar>
              <w:top w:w="20" w:type="nil"/>
              <w:left w:w="20" w:type="nil"/>
              <w:bottom w:w="20" w:type="nil"/>
              <w:right w:w="20" w:type="nil"/>
            </w:tcMar>
          </w:tcPr>
          <w:p w14:paraId="71DB476D"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Explains the connective layer, enabling integrations with WordPress, Square Payments, Cloudflare, and dispensary APIs, with a scalable API portal for external access.</w:t>
            </w:r>
          </w:p>
          <w:p w14:paraId="5D20AFAC"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0AEB0D9D" w14:textId="77777777" w:rsidTr="00496ECB">
        <w:tblPrEx>
          <w:tblCellMar>
            <w:top w:w="0" w:type="dxa"/>
            <w:bottom w:w="0" w:type="dxa"/>
          </w:tblCellMar>
        </w:tblPrEx>
        <w:tc>
          <w:tcPr>
            <w:tcW w:w="247" w:type="pct"/>
            <w:tcMar>
              <w:top w:w="20" w:type="nil"/>
              <w:left w:w="29" w:type="dxa"/>
              <w:bottom w:w="20" w:type="nil"/>
              <w:right w:w="115" w:type="dxa"/>
            </w:tcMar>
          </w:tcPr>
          <w:p w14:paraId="08ABDB90"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X</w:t>
            </w:r>
          </w:p>
        </w:tc>
        <w:tc>
          <w:tcPr>
            <w:tcW w:w="833" w:type="pct"/>
            <w:tcMar>
              <w:top w:w="20" w:type="nil"/>
              <w:left w:w="43" w:type="dxa"/>
              <w:bottom w:w="20" w:type="nil"/>
              <w:right w:w="144" w:type="dxa"/>
            </w:tcMar>
          </w:tcPr>
          <w:p w14:paraId="6159F956"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Ethics, Governance, and User Autonomy</w:t>
            </w:r>
          </w:p>
          <w:p w14:paraId="4412E5C6" w14:textId="77777777" w:rsidR="00496ECB" w:rsidRPr="00496ECB" w:rsidRDefault="00496ECB" w:rsidP="00496ECB">
            <w:pPr>
              <w:autoSpaceDE w:val="0"/>
              <w:autoSpaceDN w:val="0"/>
              <w:adjustRightInd w:val="0"/>
              <w:spacing w:after="0" w:line="240" w:lineRule="auto"/>
              <w:rPr>
                <w:rFonts w:cs="Times-Roman"/>
                <w:kern w:val="0"/>
              </w:rPr>
            </w:pPr>
          </w:p>
        </w:tc>
        <w:tc>
          <w:tcPr>
            <w:tcW w:w="3920" w:type="pct"/>
            <w:tcMar>
              <w:top w:w="20" w:type="nil"/>
              <w:left w:w="20" w:type="nil"/>
              <w:bottom w:w="20" w:type="nil"/>
              <w:right w:w="20" w:type="nil"/>
            </w:tcMar>
          </w:tcPr>
          <w:p w14:paraId="100755CF"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Outlines the ethical framework, ensuring user dignity, privacy, and fairness through governance structures, bias mitigation, and robust data control tools.</w:t>
            </w:r>
          </w:p>
          <w:p w14:paraId="2405BB31"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575920BC" w14:textId="77777777" w:rsidTr="00496ECB">
        <w:tblPrEx>
          <w:tblCellMar>
            <w:top w:w="0" w:type="dxa"/>
            <w:bottom w:w="0" w:type="dxa"/>
          </w:tblCellMar>
        </w:tblPrEx>
        <w:tc>
          <w:tcPr>
            <w:tcW w:w="247" w:type="pct"/>
            <w:tcMar>
              <w:top w:w="20" w:type="nil"/>
              <w:left w:w="29" w:type="dxa"/>
              <w:bottom w:w="20" w:type="nil"/>
              <w:right w:w="115" w:type="dxa"/>
            </w:tcMar>
          </w:tcPr>
          <w:p w14:paraId="7675E619"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XI</w:t>
            </w:r>
          </w:p>
        </w:tc>
        <w:tc>
          <w:tcPr>
            <w:tcW w:w="833" w:type="pct"/>
            <w:tcMar>
              <w:top w:w="20" w:type="nil"/>
              <w:left w:w="43" w:type="dxa"/>
              <w:bottom w:w="20" w:type="nil"/>
              <w:right w:w="144" w:type="dxa"/>
            </w:tcMar>
          </w:tcPr>
          <w:p w14:paraId="2409316A"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Future State &amp; Evolution Roadmap</w:t>
            </w:r>
          </w:p>
        </w:tc>
        <w:tc>
          <w:tcPr>
            <w:tcW w:w="3920" w:type="pct"/>
            <w:tcMar>
              <w:top w:w="20" w:type="nil"/>
              <w:left w:w="20" w:type="nil"/>
              <w:bottom w:w="20" w:type="nil"/>
              <w:right w:w="20" w:type="nil"/>
            </w:tcMar>
          </w:tcPr>
          <w:p w14:paraId="6DAB4ADA"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Projects Atlas PALM’s evolution through Q4 2026, detailing Q3 2025 milestones for multilingual support, voice interaction, agentic features (e.g., e-commerce), and multi-compound data.</w:t>
            </w:r>
          </w:p>
          <w:p w14:paraId="0FB96B61" w14:textId="77777777" w:rsidR="00496ECB" w:rsidRPr="00496ECB" w:rsidRDefault="00496ECB" w:rsidP="00496ECB">
            <w:pPr>
              <w:autoSpaceDE w:val="0"/>
              <w:autoSpaceDN w:val="0"/>
              <w:adjustRightInd w:val="0"/>
              <w:spacing w:after="0" w:line="240" w:lineRule="auto"/>
              <w:rPr>
                <w:rFonts w:cs="Times-Roman"/>
                <w:kern w:val="0"/>
              </w:rPr>
            </w:pPr>
          </w:p>
        </w:tc>
      </w:tr>
      <w:tr w:rsidR="00496ECB" w:rsidRPr="00496ECB" w14:paraId="00B2EDD4" w14:textId="77777777" w:rsidTr="00496ECB">
        <w:tblPrEx>
          <w:tblCellMar>
            <w:top w:w="0" w:type="dxa"/>
            <w:bottom w:w="0" w:type="dxa"/>
          </w:tblCellMar>
        </w:tblPrEx>
        <w:tc>
          <w:tcPr>
            <w:tcW w:w="247" w:type="pct"/>
            <w:tcMar>
              <w:top w:w="20" w:type="nil"/>
              <w:left w:w="29" w:type="dxa"/>
              <w:bottom w:w="20" w:type="nil"/>
              <w:right w:w="115" w:type="dxa"/>
            </w:tcMar>
          </w:tcPr>
          <w:p w14:paraId="1149A47E"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w:t>
            </w:r>
          </w:p>
        </w:tc>
        <w:tc>
          <w:tcPr>
            <w:tcW w:w="833" w:type="pct"/>
            <w:tcMar>
              <w:top w:w="20" w:type="nil"/>
              <w:left w:w="43" w:type="dxa"/>
              <w:bottom w:w="20" w:type="nil"/>
              <w:right w:w="144" w:type="dxa"/>
            </w:tcMar>
          </w:tcPr>
          <w:p w14:paraId="5138213B" w14:textId="77777777" w:rsidR="00496ECB" w:rsidRPr="00496ECB" w:rsidRDefault="00496ECB" w:rsidP="00496ECB">
            <w:pPr>
              <w:autoSpaceDE w:val="0"/>
              <w:autoSpaceDN w:val="0"/>
              <w:adjustRightInd w:val="0"/>
              <w:spacing w:after="0" w:line="240" w:lineRule="auto"/>
              <w:rPr>
                <w:rFonts w:cs="Times-Roman"/>
                <w:kern w:val="0"/>
              </w:rPr>
            </w:pPr>
            <w:r w:rsidRPr="00496ECB">
              <w:rPr>
                <w:rFonts w:cs="Times-Roman"/>
                <w:kern w:val="0"/>
              </w:rPr>
              <w:t>Table of Appendices</w:t>
            </w:r>
          </w:p>
        </w:tc>
        <w:tc>
          <w:tcPr>
            <w:tcW w:w="3920" w:type="pct"/>
            <w:tcMar>
              <w:top w:w="20" w:type="nil"/>
              <w:left w:w="20" w:type="nil"/>
              <w:bottom w:w="20" w:type="nil"/>
              <w:right w:w="20" w:type="nil"/>
            </w:tcMar>
          </w:tcPr>
          <w:p w14:paraId="07D88387" w14:textId="77777777" w:rsidR="00496ECB" w:rsidRDefault="00496ECB" w:rsidP="00496ECB">
            <w:pPr>
              <w:autoSpaceDE w:val="0"/>
              <w:autoSpaceDN w:val="0"/>
              <w:adjustRightInd w:val="0"/>
              <w:spacing w:after="0" w:line="240" w:lineRule="auto"/>
              <w:rPr>
                <w:rFonts w:cs="Times-Roman"/>
                <w:kern w:val="0"/>
              </w:rPr>
            </w:pPr>
            <w:r w:rsidRPr="00496ECB">
              <w:rPr>
                <w:rFonts w:cs="Times-Roman"/>
                <w:kern w:val="0"/>
              </w:rPr>
              <w:t xml:space="preserve">Catalogs Appendices A–F (Version Logs, AI Editing Protocols, JSON Schemas, Simulation Tests, </w:t>
            </w:r>
            <w:proofErr w:type="spellStart"/>
            <w:r w:rsidRPr="00496ECB">
              <w:rPr>
                <w:rFonts w:cs="Times-Roman"/>
                <w:kern w:val="0"/>
              </w:rPr>
              <w:t>OpenAPI</w:t>
            </w:r>
            <w:proofErr w:type="spellEnd"/>
            <w:r w:rsidRPr="00496ECB">
              <w:rPr>
                <w:rFonts w:cs="Times-Roman"/>
                <w:kern w:val="0"/>
              </w:rPr>
              <w:t xml:space="preserve"> Specifications, Domain Ontology), summarizing their purpose and content for developer reference.</w:t>
            </w:r>
          </w:p>
          <w:p w14:paraId="715FBBC2" w14:textId="77777777" w:rsidR="00496ECB" w:rsidRPr="00496ECB" w:rsidRDefault="00496ECB" w:rsidP="00496ECB">
            <w:pPr>
              <w:autoSpaceDE w:val="0"/>
              <w:autoSpaceDN w:val="0"/>
              <w:adjustRightInd w:val="0"/>
              <w:spacing w:after="0" w:line="240" w:lineRule="auto"/>
              <w:rPr>
                <w:rFonts w:cs="Times-Roman"/>
                <w:kern w:val="0"/>
              </w:rPr>
            </w:pPr>
          </w:p>
        </w:tc>
      </w:tr>
    </w:tbl>
    <w:p w14:paraId="6B5A844D" w14:textId="77777777" w:rsidR="00496ECB" w:rsidRPr="00496ECB" w:rsidRDefault="00496ECB" w:rsidP="00496ECB">
      <w:pPr>
        <w:autoSpaceDE w:val="0"/>
        <w:autoSpaceDN w:val="0"/>
        <w:adjustRightInd w:val="0"/>
        <w:spacing w:before="120" w:after="120" w:line="240" w:lineRule="auto"/>
        <w:rPr>
          <w:rFonts w:asciiTheme="majorHAnsi" w:hAnsiTheme="majorHAnsi" w:cs="Times-Bold"/>
          <w:b/>
          <w:bCs/>
          <w:kern w:val="0"/>
          <w:sz w:val="32"/>
          <w:szCs w:val="32"/>
        </w:rPr>
      </w:pPr>
      <w:r w:rsidRPr="00496ECB">
        <w:rPr>
          <w:rFonts w:asciiTheme="majorHAnsi" w:hAnsiTheme="majorHAnsi" w:cs="Times-Bold"/>
          <w:b/>
          <w:bCs/>
          <w:kern w:val="0"/>
          <w:sz w:val="32"/>
          <w:szCs w:val="32"/>
        </w:rPr>
        <w:t>Notes for Developers</w:t>
      </w:r>
    </w:p>
    <w:p w14:paraId="0A927736" w14:textId="77777777" w:rsidR="00496ECB" w:rsidRPr="00496ECB" w:rsidRDefault="00496ECB" w:rsidP="00496ECB">
      <w:pPr>
        <w:numPr>
          <w:ilvl w:val="0"/>
          <w:numId w:val="1"/>
        </w:numPr>
        <w:tabs>
          <w:tab w:val="left" w:pos="220"/>
          <w:tab w:val="left" w:pos="720"/>
        </w:tabs>
        <w:autoSpaceDE w:val="0"/>
        <w:autoSpaceDN w:val="0"/>
        <w:adjustRightInd w:val="0"/>
        <w:spacing w:after="60" w:line="288" w:lineRule="auto"/>
        <w:ind w:hanging="720"/>
        <w:rPr>
          <w:rFonts w:cs="Times-Roman"/>
          <w:kern w:val="0"/>
          <w:sz w:val="22"/>
          <w:szCs w:val="22"/>
        </w:rPr>
      </w:pPr>
      <w:r w:rsidRPr="00496ECB">
        <w:rPr>
          <w:rFonts w:cs="Times-Bold"/>
          <w:b/>
          <w:bCs/>
          <w:kern w:val="0"/>
          <w:sz w:val="22"/>
          <w:szCs w:val="22"/>
        </w:rPr>
        <w:t>Navigation</w:t>
      </w:r>
      <w:r w:rsidRPr="00496ECB">
        <w:rPr>
          <w:rFonts w:cs="Times-Roman"/>
          <w:kern w:val="0"/>
          <w:sz w:val="22"/>
          <w:szCs w:val="22"/>
        </w:rPr>
        <w:t>: Use this Table of Contents to locate sections and the Table of Appendices for supporting resources, cross-referenced throughout the document.</w:t>
      </w:r>
    </w:p>
    <w:p w14:paraId="2FF40D96" w14:textId="77777777" w:rsidR="00496ECB" w:rsidRPr="00496ECB" w:rsidRDefault="00496ECB" w:rsidP="00496ECB">
      <w:pPr>
        <w:numPr>
          <w:ilvl w:val="0"/>
          <w:numId w:val="1"/>
        </w:numPr>
        <w:tabs>
          <w:tab w:val="left" w:pos="220"/>
          <w:tab w:val="left" w:pos="720"/>
        </w:tabs>
        <w:autoSpaceDE w:val="0"/>
        <w:autoSpaceDN w:val="0"/>
        <w:adjustRightInd w:val="0"/>
        <w:spacing w:after="60" w:line="288" w:lineRule="auto"/>
        <w:ind w:hanging="720"/>
        <w:rPr>
          <w:rFonts w:cs="Times-Roman"/>
          <w:kern w:val="0"/>
          <w:sz w:val="22"/>
          <w:szCs w:val="22"/>
        </w:rPr>
      </w:pPr>
      <w:r w:rsidRPr="00496ECB">
        <w:rPr>
          <w:rFonts w:cs="Times-Bold"/>
          <w:b/>
          <w:bCs/>
          <w:kern w:val="0"/>
          <w:sz w:val="22"/>
          <w:szCs w:val="22"/>
        </w:rPr>
        <w:t>Implementation</w:t>
      </w:r>
      <w:r w:rsidRPr="00496ECB">
        <w:rPr>
          <w:rFonts w:cs="Times-Roman"/>
          <w:kern w:val="0"/>
          <w:sz w:val="22"/>
          <w:szCs w:val="22"/>
        </w:rPr>
        <w:t>: Each section provides developer notes, code snippets, and appendix references to guide coding, testing, and debugging.</w:t>
      </w:r>
    </w:p>
    <w:p w14:paraId="40BA0B75" w14:textId="77777777" w:rsidR="00496ECB" w:rsidRPr="00496ECB" w:rsidRDefault="00496ECB" w:rsidP="00496ECB">
      <w:pPr>
        <w:numPr>
          <w:ilvl w:val="0"/>
          <w:numId w:val="1"/>
        </w:numPr>
        <w:tabs>
          <w:tab w:val="left" w:pos="220"/>
          <w:tab w:val="left" w:pos="720"/>
        </w:tabs>
        <w:autoSpaceDE w:val="0"/>
        <w:autoSpaceDN w:val="0"/>
        <w:adjustRightInd w:val="0"/>
        <w:spacing w:after="60" w:line="288" w:lineRule="auto"/>
        <w:ind w:hanging="720"/>
        <w:rPr>
          <w:rFonts w:cs="Times-Roman"/>
          <w:kern w:val="0"/>
          <w:sz w:val="22"/>
          <w:szCs w:val="22"/>
        </w:rPr>
      </w:pPr>
      <w:r w:rsidRPr="00496ECB">
        <w:rPr>
          <w:rFonts w:cs="Times-Bold"/>
          <w:b/>
          <w:bCs/>
          <w:kern w:val="0"/>
          <w:sz w:val="22"/>
          <w:szCs w:val="22"/>
        </w:rPr>
        <w:t>Extensibility</w:t>
      </w:r>
      <w:r w:rsidRPr="00496ECB">
        <w:rPr>
          <w:rFonts w:cs="Times-Roman"/>
          <w:kern w:val="0"/>
          <w:sz w:val="22"/>
          <w:szCs w:val="22"/>
        </w:rPr>
        <w:t>: The modular structure supports future features (Section XI), with appendices designed for updates (e.g., new schemas, test cases).</w:t>
      </w:r>
    </w:p>
    <w:p w14:paraId="3C566AC9" w14:textId="77777777" w:rsidR="00496ECB" w:rsidRPr="00496ECB" w:rsidRDefault="00496ECB" w:rsidP="00496ECB">
      <w:pPr>
        <w:numPr>
          <w:ilvl w:val="0"/>
          <w:numId w:val="1"/>
        </w:numPr>
        <w:tabs>
          <w:tab w:val="left" w:pos="220"/>
          <w:tab w:val="left" w:pos="720"/>
        </w:tabs>
        <w:autoSpaceDE w:val="0"/>
        <w:autoSpaceDN w:val="0"/>
        <w:adjustRightInd w:val="0"/>
        <w:spacing w:after="60" w:line="288" w:lineRule="auto"/>
        <w:ind w:hanging="720"/>
        <w:rPr>
          <w:rFonts w:cs="Times-Roman"/>
          <w:kern w:val="0"/>
          <w:sz w:val="22"/>
          <w:szCs w:val="22"/>
        </w:rPr>
      </w:pPr>
      <w:r w:rsidRPr="00496ECB">
        <w:rPr>
          <w:rFonts w:cs="Times-Bold"/>
          <w:b/>
          <w:bCs/>
          <w:kern w:val="0"/>
          <w:sz w:val="22"/>
          <w:szCs w:val="22"/>
        </w:rPr>
        <w:t>Consistency</w:t>
      </w:r>
      <w:r w:rsidRPr="00496ECB">
        <w:rPr>
          <w:rFonts w:cs="Times-Roman"/>
          <w:kern w:val="0"/>
          <w:sz w:val="22"/>
          <w:szCs w:val="22"/>
        </w:rPr>
        <w:t>: All content aligns with the corrected "2000+ strain library" (memo, May 4, 2025) and ethical protocols (Appendix B).</w:t>
      </w:r>
    </w:p>
    <w:p w14:paraId="5A4B6E58" w14:textId="77777777" w:rsidR="00496ECB" w:rsidRPr="00496ECB" w:rsidRDefault="00496ECB" w:rsidP="00496ECB">
      <w:pPr>
        <w:autoSpaceDE w:val="0"/>
        <w:autoSpaceDN w:val="0"/>
        <w:adjustRightInd w:val="0"/>
        <w:spacing w:before="120" w:after="120" w:line="240" w:lineRule="auto"/>
        <w:rPr>
          <w:rFonts w:asciiTheme="majorHAnsi" w:hAnsiTheme="majorHAnsi" w:cs="Times-Bold"/>
          <w:b/>
          <w:bCs/>
          <w:kern w:val="0"/>
          <w:sz w:val="32"/>
          <w:szCs w:val="32"/>
        </w:rPr>
      </w:pPr>
      <w:r w:rsidRPr="00496ECB">
        <w:rPr>
          <w:rFonts w:asciiTheme="majorHAnsi" w:hAnsiTheme="majorHAnsi" w:cs="Times-Bold"/>
          <w:b/>
          <w:bCs/>
          <w:kern w:val="0"/>
          <w:sz w:val="32"/>
          <w:szCs w:val="32"/>
        </w:rPr>
        <w:t>Narrative Context</w:t>
      </w:r>
    </w:p>
    <w:p w14:paraId="478334F4" w14:textId="011D9567" w:rsidR="004F47DE" w:rsidRPr="00496ECB" w:rsidRDefault="00496ECB" w:rsidP="00496ECB">
      <w:pPr>
        <w:autoSpaceDE w:val="0"/>
        <w:autoSpaceDN w:val="0"/>
        <w:adjustRightInd w:val="0"/>
        <w:spacing w:after="0" w:line="288" w:lineRule="auto"/>
        <w:rPr>
          <w:rFonts w:cs="Times-Roman"/>
          <w:kern w:val="0"/>
          <w:sz w:val="22"/>
          <w:szCs w:val="22"/>
        </w:rPr>
      </w:pPr>
      <w:r w:rsidRPr="00496ECB">
        <w:rPr>
          <w:rFonts w:cs="Times-Roman"/>
          <w:kern w:val="0"/>
          <w:sz w:val="22"/>
          <w:szCs w:val="22"/>
        </w:rPr>
        <w:t>In the hero’s journey, this Table of Contents is the guidepost at the journey’s start, orienting the development team to the path ahead. It maps the layers of Atlas PALM v1.5, from its technical core to its ethical heart, empowering developers like Chat to build a platform that transforms cannabis exploration into a trusted, empowering experience.</w:t>
      </w:r>
    </w:p>
    <w:sectPr w:rsidR="004F47DE" w:rsidRPr="00496ECB" w:rsidSect="00496E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8354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CB"/>
    <w:rsid w:val="001B349B"/>
    <w:rsid w:val="00214E23"/>
    <w:rsid w:val="002B3FBE"/>
    <w:rsid w:val="002C60B1"/>
    <w:rsid w:val="00327BCE"/>
    <w:rsid w:val="003F693D"/>
    <w:rsid w:val="00465D62"/>
    <w:rsid w:val="00496ECB"/>
    <w:rsid w:val="004C2BC7"/>
    <w:rsid w:val="004F47DE"/>
    <w:rsid w:val="00532256"/>
    <w:rsid w:val="006D082B"/>
    <w:rsid w:val="0076349A"/>
    <w:rsid w:val="00783FAA"/>
    <w:rsid w:val="007A3ADE"/>
    <w:rsid w:val="009A2A3C"/>
    <w:rsid w:val="00A71538"/>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AB952"/>
  <w15:chartTrackingRefBased/>
  <w15:docId w15:val="{E7848E43-6FFB-0C42-B268-EE60F296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ECB"/>
    <w:rPr>
      <w:rFonts w:eastAsiaTheme="majorEastAsia" w:cstheme="majorBidi"/>
      <w:color w:val="272727" w:themeColor="text1" w:themeTint="D8"/>
    </w:rPr>
  </w:style>
  <w:style w:type="paragraph" w:styleId="Title">
    <w:name w:val="Title"/>
    <w:basedOn w:val="Normal"/>
    <w:next w:val="Normal"/>
    <w:link w:val="TitleChar"/>
    <w:uiPriority w:val="10"/>
    <w:qFormat/>
    <w:rsid w:val="0049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ECB"/>
    <w:pPr>
      <w:spacing w:before="160"/>
      <w:jc w:val="center"/>
    </w:pPr>
    <w:rPr>
      <w:i/>
      <w:iCs/>
      <w:color w:val="404040" w:themeColor="text1" w:themeTint="BF"/>
    </w:rPr>
  </w:style>
  <w:style w:type="character" w:customStyle="1" w:styleId="QuoteChar">
    <w:name w:val="Quote Char"/>
    <w:basedOn w:val="DefaultParagraphFont"/>
    <w:link w:val="Quote"/>
    <w:uiPriority w:val="29"/>
    <w:rsid w:val="00496ECB"/>
    <w:rPr>
      <w:i/>
      <w:iCs/>
      <w:color w:val="404040" w:themeColor="text1" w:themeTint="BF"/>
    </w:rPr>
  </w:style>
  <w:style w:type="paragraph" w:styleId="ListParagraph">
    <w:name w:val="List Paragraph"/>
    <w:basedOn w:val="Normal"/>
    <w:uiPriority w:val="34"/>
    <w:qFormat/>
    <w:rsid w:val="00496ECB"/>
    <w:pPr>
      <w:ind w:left="720"/>
      <w:contextualSpacing/>
    </w:pPr>
  </w:style>
  <w:style w:type="character" w:styleId="IntenseEmphasis">
    <w:name w:val="Intense Emphasis"/>
    <w:basedOn w:val="DefaultParagraphFont"/>
    <w:uiPriority w:val="21"/>
    <w:qFormat/>
    <w:rsid w:val="00496ECB"/>
    <w:rPr>
      <w:i/>
      <w:iCs/>
      <w:color w:val="0F4761" w:themeColor="accent1" w:themeShade="BF"/>
    </w:rPr>
  </w:style>
  <w:style w:type="paragraph" w:styleId="IntenseQuote">
    <w:name w:val="Intense Quote"/>
    <w:basedOn w:val="Normal"/>
    <w:next w:val="Normal"/>
    <w:link w:val="IntenseQuoteChar"/>
    <w:uiPriority w:val="30"/>
    <w:qFormat/>
    <w:rsid w:val="0049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ECB"/>
    <w:rPr>
      <w:i/>
      <w:iCs/>
      <w:color w:val="0F4761" w:themeColor="accent1" w:themeShade="BF"/>
    </w:rPr>
  </w:style>
  <w:style w:type="character" w:styleId="IntenseReference">
    <w:name w:val="Intense Reference"/>
    <w:basedOn w:val="DefaultParagraphFont"/>
    <w:uiPriority w:val="32"/>
    <w:qFormat/>
    <w:rsid w:val="00496E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2025-05-06T07:42:00Z</dcterms:created>
  <dcterms:modified xsi:type="dcterms:W3CDTF">2025-05-06T08:01:00Z</dcterms:modified>
</cp:coreProperties>
</file>