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08149" w14:textId="77777777" w:rsidR="00AA3E06" w:rsidRDefault="00AA3E06" w:rsidP="00AA3E06">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Table of Appendices</w:t>
      </w:r>
    </w:p>
    <w:p w14:paraId="491CCB79" w14:textId="3D93A4B6" w:rsidR="00AA3E06" w:rsidRPr="007E24AE" w:rsidRDefault="00AA3E06" w:rsidP="007E24AE">
      <w:pPr>
        <w:autoSpaceDE w:val="0"/>
        <w:autoSpaceDN w:val="0"/>
        <w:adjustRightInd w:val="0"/>
        <w:spacing w:after="240" w:line="288" w:lineRule="auto"/>
        <w:rPr>
          <w:rFonts w:cs="Times-Roman"/>
          <w:kern w:val="0"/>
        </w:rPr>
      </w:pPr>
      <w:r w:rsidRPr="007E24AE">
        <w:rPr>
          <w:rFonts w:cs="Times-Roman"/>
          <w:kern w:val="0"/>
        </w:rPr>
        <w:t xml:space="preserve">This table provides a comprehensive catalog of the supporting appendices for </w:t>
      </w:r>
      <w:r w:rsidRPr="007E24AE">
        <w:rPr>
          <w:rFonts w:cs="Times-Italic"/>
          <w:i/>
          <w:iCs/>
          <w:kern w:val="0"/>
        </w:rPr>
        <w:t>Atlas PALM v1.5</w:t>
      </w:r>
      <w:r w:rsidRPr="007E24AE">
        <w:rPr>
          <w:rFonts w:cs="Times-Roman"/>
          <w:kern w:val="0"/>
        </w:rPr>
        <w:t>, enabling the development team</w:t>
      </w:r>
      <w:r w:rsidR="003C7CBA">
        <w:rPr>
          <w:rFonts w:cs="Times-Roman"/>
          <w:kern w:val="0"/>
        </w:rPr>
        <w:t xml:space="preserve"> </w:t>
      </w:r>
      <w:r w:rsidRPr="007E24AE">
        <w:rPr>
          <w:rFonts w:cs="Times-Roman"/>
          <w:kern w:val="0"/>
        </w:rPr>
        <w:t xml:space="preserve">to navigate the technical, operational, and ethical resources underpinning the Atlas Insight Engine. Each appendix is referenced across Sections I–XI, enhancing the platform’s robustness and empowering developers to implement, test, and extend the system. The table below lists each appendix, its title, description, content type, and associated sections, aligning with the user-as-hero narrative by equipping developers to deliver a transformative cannabis exploration experience. </w:t>
      </w:r>
    </w:p>
    <w:tbl>
      <w:tblPr>
        <w:tblW w:w="5000" w:type="pct"/>
        <w:tblBorders>
          <w:insideH w:val="single" w:sz="4" w:space="0" w:color="auto"/>
        </w:tblBorders>
        <w:tblLayout w:type="fixed"/>
        <w:tblLook w:val="0000" w:firstRow="0" w:lastRow="0" w:firstColumn="0" w:lastColumn="0" w:noHBand="0" w:noVBand="0"/>
      </w:tblPr>
      <w:tblGrid>
        <w:gridCol w:w="1134"/>
        <w:gridCol w:w="1576"/>
        <w:gridCol w:w="3950"/>
        <w:gridCol w:w="1391"/>
        <w:gridCol w:w="1309"/>
      </w:tblGrid>
      <w:tr w:rsidR="007E24AE" w14:paraId="5FDE2D95" w14:textId="77777777" w:rsidTr="007E24AE">
        <w:tblPrEx>
          <w:tblCellMar>
            <w:top w:w="0" w:type="dxa"/>
            <w:bottom w:w="0" w:type="dxa"/>
          </w:tblCellMar>
        </w:tblPrEx>
        <w:tc>
          <w:tcPr>
            <w:tcW w:w="606" w:type="pct"/>
            <w:tcMar>
              <w:top w:w="20" w:type="nil"/>
              <w:left w:w="58" w:type="dxa"/>
              <w:bottom w:w="20" w:type="nil"/>
              <w:right w:w="158" w:type="dxa"/>
            </w:tcMar>
          </w:tcPr>
          <w:p w14:paraId="70B6C7D5" w14:textId="344D4C7F"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Appendix</w:t>
            </w:r>
            <w:r w:rsidR="007E24AE" w:rsidRPr="007E24AE">
              <w:rPr>
                <w:rFonts w:asciiTheme="majorHAnsi" w:hAnsiTheme="majorHAnsi" w:cs="Times-Bold"/>
                <w:b/>
                <w:bCs/>
                <w:kern w:val="0"/>
                <w:sz w:val="22"/>
                <w:szCs w:val="22"/>
              </w:rPr>
              <w:t xml:space="preserve"> </w:t>
            </w:r>
          </w:p>
        </w:tc>
        <w:tc>
          <w:tcPr>
            <w:tcW w:w="842" w:type="pct"/>
            <w:tcMar>
              <w:top w:w="20" w:type="nil"/>
              <w:left w:w="20" w:type="nil"/>
              <w:bottom w:w="20" w:type="nil"/>
              <w:right w:w="20" w:type="nil"/>
            </w:tcMar>
          </w:tcPr>
          <w:p w14:paraId="2F1D1F48"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Title</w:t>
            </w:r>
          </w:p>
        </w:tc>
        <w:tc>
          <w:tcPr>
            <w:tcW w:w="2110" w:type="pct"/>
            <w:tcMar>
              <w:top w:w="20" w:type="nil"/>
              <w:left w:w="20" w:type="nil"/>
              <w:bottom w:w="20" w:type="nil"/>
              <w:right w:w="20" w:type="nil"/>
            </w:tcMar>
          </w:tcPr>
          <w:p w14:paraId="0B45CC06"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Description</w:t>
            </w:r>
          </w:p>
        </w:tc>
        <w:tc>
          <w:tcPr>
            <w:tcW w:w="743" w:type="pct"/>
            <w:tcMar>
              <w:top w:w="20" w:type="nil"/>
              <w:left w:w="20" w:type="nil"/>
              <w:bottom w:w="20" w:type="nil"/>
              <w:right w:w="20" w:type="nil"/>
            </w:tcMar>
          </w:tcPr>
          <w:p w14:paraId="0FB0C4DF"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Content Type</w:t>
            </w:r>
          </w:p>
        </w:tc>
        <w:tc>
          <w:tcPr>
            <w:tcW w:w="700" w:type="pct"/>
            <w:tcMar>
              <w:top w:w="20" w:type="nil"/>
              <w:left w:w="58" w:type="dxa"/>
              <w:bottom w:w="20" w:type="nil"/>
              <w:right w:w="158" w:type="dxa"/>
            </w:tcMar>
          </w:tcPr>
          <w:p w14:paraId="0B7D4574"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Associated Sections</w:t>
            </w:r>
          </w:p>
        </w:tc>
      </w:tr>
      <w:tr w:rsidR="007E24AE" w14:paraId="3684FC0A" w14:textId="77777777" w:rsidTr="007E24AE">
        <w:tblPrEx>
          <w:tblCellMar>
            <w:top w:w="0" w:type="dxa"/>
            <w:bottom w:w="0" w:type="dxa"/>
          </w:tblCellMar>
        </w:tblPrEx>
        <w:tc>
          <w:tcPr>
            <w:tcW w:w="606" w:type="pct"/>
            <w:tcMar>
              <w:top w:w="20" w:type="nil"/>
              <w:left w:w="20" w:type="nil"/>
              <w:bottom w:w="20" w:type="nil"/>
              <w:right w:w="20" w:type="nil"/>
            </w:tcMar>
          </w:tcPr>
          <w:p w14:paraId="6987A10A"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A</w:t>
            </w:r>
          </w:p>
        </w:tc>
        <w:tc>
          <w:tcPr>
            <w:tcW w:w="842" w:type="pct"/>
            <w:tcMar>
              <w:top w:w="20" w:type="nil"/>
              <w:left w:w="20" w:type="nil"/>
              <w:bottom w:w="20" w:type="nil"/>
              <w:right w:w="20" w:type="nil"/>
            </w:tcMar>
          </w:tcPr>
          <w:p w14:paraId="1339FCC3"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Version Logs</w:t>
            </w:r>
          </w:p>
        </w:tc>
        <w:tc>
          <w:tcPr>
            <w:tcW w:w="2110" w:type="pct"/>
            <w:tcMar>
              <w:top w:w="86" w:type="dxa"/>
              <w:left w:w="115" w:type="dxa"/>
              <w:bottom w:w="86" w:type="dxa"/>
              <w:right w:w="115" w:type="dxa"/>
            </w:tcMar>
          </w:tcPr>
          <w:p w14:paraId="32A28F8B"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Chronicles the version history of Atlas PALM, from v1.0 to v1.5, detailing feature additions, bug fixes, and advancements (e.g., Voice Overlay Integration, Cultural Context Filter). Includes timestamps and contributor notes for traceability. Updated to document the strain library correction (memo, May 4, 2025).</w:t>
            </w:r>
          </w:p>
        </w:tc>
        <w:tc>
          <w:tcPr>
            <w:tcW w:w="743" w:type="pct"/>
            <w:tcMar>
              <w:right w:w="144" w:type="dxa"/>
            </w:tcMar>
          </w:tcPr>
          <w:p w14:paraId="2169A502" w14:textId="19444239"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6CEC0B93"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 II, III, IV, V, VI, VII, VIII, IX, X, XI</w:t>
            </w:r>
          </w:p>
        </w:tc>
      </w:tr>
      <w:tr w:rsidR="007E24AE" w14:paraId="4D144D6B" w14:textId="77777777" w:rsidTr="007E24AE">
        <w:tblPrEx>
          <w:tblCellMar>
            <w:top w:w="0" w:type="dxa"/>
            <w:bottom w:w="0" w:type="dxa"/>
          </w:tblCellMar>
        </w:tblPrEx>
        <w:tc>
          <w:tcPr>
            <w:tcW w:w="606" w:type="pct"/>
            <w:tcMar>
              <w:top w:w="20" w:type="nil"/>
              <w:left w:w="20" w:type="nil"/>
              <w:bottom w:w="20" w:type="nil"/>
              <w:right w:w="20" w:type="nil"/>
            </w:tcMar>
          </w:tcPr>
          <w:p w14:paraId="26C5EC5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B</w:t>
            </w:r>
          </w:p>
        </w:tc>
        <w:tc>
          <w:tcPr>
            <w:tcW w:w="842" w:type="pct"/>
            <w:tcMar>
              <w:top w:w="20" w:type="nil"/>
              <w:left w:w="20" w:type="nil"/>
              <w:bottom w:w="20" w:type="nil"/>
              <w:right w:w="20" w:type="nil"/>
            </w:tcMar>
          </w:tcPr>
          <w:p w14:paraId="120998BC"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AI Editing Protocols</w:t>
            </w:r>
          </w:p>
        </w:tc>
        <w:tc>
          <w:tcPr>
            <w:tcW w:w="2110" w:type="pct"/>
            <w:tcMar>
              <w:top w:w="86" w:type="dxa"/>
              <w:left w:w="115" w:type="dxa"/>
              <w:bottom w:w="86" w:type="dxa"/>
              <w:right w:w="115" w:type="dxa"/>
            </w:tcMar>
          </w:tcPr>
          <w:p w14:paraId="15351BD2"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Outlines ethical protocols for AI-generated content, including bias mitigation, privacy compliance (GDPR/CCPA), and monthly audit processes. Details bias detection scripts and transparency guidelines, ensuring responses respect user dignity and cultural humility.</w:t>
            </w:r>
          </w:p>
        </w:tc>
        <w:tc>
          <w:tcPr>
            <w:tcW w:w="743" w:type="pct"/>
            <w:tcMar>
              <w:top w:w="20" w:type="nil"/>
              <w:left w:w="20" w:type="nil"/>
              <w:bottom w:w="20" w:type="nil"/>
              <w:right w:w="144" w:type="dxa"/>
            </w:tcMar>
          </w:tcPr>
          <w:p w14:paraId="3179119F" w14:textId="6AAD30FD"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0CA5BB6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IV, V, VI, VII, VIII, IX, X</w:t>
            </w:r>
          </w:p>
        </w:tc>
      </w:tr>
      <w:tr w:rsidR="007E24AE" w14:paraId="0F8D61C6" w14:textId="77777777" w:rsidTr="007E24AE">
        <w:tblPrEx>
          <w:tblCellMar>
            <w:top w:w="0" w:type="dxa"/>
            <w:bottom w:w="0" w:type="dxa"/>
          </w:tblCellMar>
        </w:tblPrEx>
        <w:tc>
          <w:tcPr>
            <w:tcW w:w="606" w:type="pct"/>
            <w:tcMar>
              <w:top w:w="20" w:type="nil"/>
              <w:left w:w="20" w:type="nil"/>
              <w:bottom w:w="20" w:type="nil"/>
              <w:right w:w="20" w:type="nil"/>
            </w:tcMar>
          </w:tcPr>
          <w:p w14:paraId="1EEACF46"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C</w:t>
            </w:r>
          </w:p>
        </w:tc>
        <w:tc>
          <w:tcPr>
            <w:tcW w:w="842" w:type="pct"/>
            <w:tcMar>
              <w:top w:w="20" w:type="nil"/>
              <w:left w:w="20" w:type="nil"/>
              <w:bottom w:w="20" w:type="nil"/>
              <w:right w:w="20" w:type="nil"/>
            </w:tcMar>
          </w:tcPr>
          <w:p w14:paraId="311E7C42"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JSON Schemas</w:t>
            </w:r>
          </w:p>
        </w:tc>
        <w:tc>
          <w:tcPr>
            <w:tcW w:w="2110" w:type="pct"/>
            <w:tcMar>
              <w:top w:w="86" w:type="dxa"/>
              <w:left w:w="115" w:type="dxa"/>
              <w:bottom w:w="86" w:type="dxa"/>
              <w:right w:w="115" w:type="dxa"/>
            </w:tcMar>
          </w:tcPr>
          <w:p w14:paraId="7991C2EB"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Defines JSON schemas for data validation across layers, including input (query), output (response), feedback, journey, mentor, and domain schemas. Updated for multilingual, voice, and agentic features (Q3 2025, Section XI). </w:t>
            </w:r>
            <w:r w:rsidRPr="007E24AE">
              <w:rPr>
                <w:rFonts w:cs="Times-Roman"/>
                <w:kern w:val="0"/>
                <w:sz w:val="22"/>
                <w:szCs w:val="22"/>
              </w:rPr>
              <w:lastRenderedPageBreak/>
              <w:t>Includes validation notes for the 2,000+ strain library.</w:t>
            </w:r>
          </w:p>
        </w:tc>
        <w:tc>
          <w:tcPr>
            <w:tcW w:w="743" w:type="pct"/>
            <w:tcMar>
              <w:top w:w="20" w:type="nil"/>
              <w:left w:w="20" w:type="nil"/>
              <w:bottom w:w="20" w:type="nil"/>
              <w:right w:w="144" w:type="dxa"/>
            </w:tcMar>
          </w:tcPr>
          <w:p w14:paraId="67EFB47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lastRenderedPageBreak/>
              <w:t>Text/JSON</w:t>
            </w:r>
          </w:p>
        </w:tc>
        <w:tc>
          <w:tcPr>
            <w:tcW w:w="700" w:type="pct"/>
            <w:tcMar>
              <w:top w:w="20" w:type="nil"/>
              <w:left w:w="20" w:type="nil"/>
              <w:bottom w:w="20" w:type="nil"/>
              <w:right w:w="20" w:type="nil"/>
            </w:tcMar>
          </w:tcPr>
          <w:p w14:paraId="71EC412D"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III, IV, V, VI, VII, VIII, IX, X, XI</w:t>
            </w:r>
          </w:p>
        </w:tc>
      </w:tr>
      <w:tr w:rsidR="007E24AE" w14:paraId="6FCB5BA5" w14:textId="77777777" w:rsidTr="007E24AE">
        <w:tblPrEx>
          <w:tblCellMar>
            <w:top w:w="0" w:type="dxa"/>
            <w:bottom w:w="0" w:type="dxa"/>
          </w:tblCellMar>
        </w:tblPrEx>
        <w:tc>
          <w:tcPr>
            <w:tcW w:w="606" w:type="pct"/>
            <w:tcMar>
              <w:top w:w="20" w:type="nil"/>
              <w:left w:w="20" w:type="nil"/>
              <w:bottom w:w="20" w:type="nil"/>
              <w:right w:w="20" w:type="nil"/>
            </w:tcMar>
          </w:tcPr>
          <w:p w14:paraId="3DEC9750"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w:t>
            </w:r>
          </w:p>
        </w:tc>
        <w:tc>
          <w:tcPr>
            <w:tcW w:w="842" w:type="pct"/>
            <w:tcMar>
              <w:top w:w="20" w:type="nil"/>
              <w:left w:w="20" w:type="nil"/>
              <w:bottom w:w="20" w:type="nil"/>
              <w:right w:w="20" w:type="nil"/>
            </w:tcMar>
          </w:tcPr>
          <w:p w14:paraId="38759C3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Simulation Tests</w:t>
            </w:r>
          </w:p>
        </w:tc>
        <w:tc>
          <w:tcPr>
            <w:tcW w:w="2110" w:type="pct"/>
            <w:tcMar>
              <w:top w:w="86" w:type="dxa"/>
              <w:left w:w="115" w:type="dxa"/>
              <w:bottom w:w="86" w:type="dxa"/>
              <w:right w:w="115" w:type="dxa"/>
            </w:tcMar>
          </w:tcPr>
          <w:p w14:paraId="12F801F8"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Provides a library of 1,000+ test cases for the Simulation Framework (Section VIII), covering edge cases (e.g., invalid regions), cultural mismatches, and high-volume loads. Includes </w:t>
            </w:r>
            <w:proofErr w:type="spellStart"/>
            <w:r w:rsidRPr="007E24AE">
              <w:rPr>
                <w:rFonts w:cs="Times-Roman"/>
                <w:kern w:val="0"/>
                <w:sz w:val="22"/>
                <w:szCs w:val="22"/>
              </w:rPr>
              <w:t>pytest</w:t>
            </w:r>
            <w:proofErr w:type="spellEnd"/>
            <w:r w:rsidRPr="007E24AE">
              <w:rPr>
                <w:rFonts w:cs="Times-Roman"/>
                <w:kern w:val="0"/>
                <w:sz w:val="22"/>
                <w:szCs w:val="22"/>
              </w:rPr>
              <w:t xml:space="preserve"> scripts, results (97.5% accuracy, 100% compliance), and metrics for user satisfaction and latency.</w:t>
            </w:r>
          </w:p>
        </w:tc>
        <w:tc>
          <w:tcPr>
            <w:tcW w:w="743" w:type="pct"/>
            <w:tcMar>
              <w:top w:w="20" w:type="nil"/>
              <w:left w:w="20" w:type="nil"/>
              <w:bottom w:w="20" w:type="nil"/>
              <w:right w:w="144" w:type="dxa"/>
            </w:tcMar>
          </w:tcPr>
          <w:p w14:paraId="4F703BD8" w14:textId="113D412A"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/Python</w:t>
            </w:r>
          </w:p>
        </w:tc>
        <w:tc>
          <w:tcPr>
            <w:tcW w:w="700" w:type="pct"/>
            <w:tcMar>
              <w:top w:w="20" w:type="nil"/>
              <w:left w:w="20" w:type="nil"/>
              <w:bottom w:w="20" w:type="nil"/>
              <w:right w:w="20" w:type="nil"/>
            </w:tcMar>
          </w:tcPr>
          <w:p w14:paraId="1FB4A284"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III, IV, V, VI, VII, VIII, IX, X, XI</w:t>
            </w:r>
          </w:p>
        </w:tc>
      </w:tr>
      <w:tr w:rsidR="007E24AE" w14:paraId="4498FB41" w14:textId="77777777" w:rsidTr="007E24AE">
        <w:tblPrEx>
          <w:tblCellMar>
            <w:top w:w="0" w:type="dxa"/>
            <w:bottom w:w="0" w:type="dxa"/>
          </w:tblCellMar>
        </w:tblPrEx>
        <w:tc>
          <w:tcPr>
            <w:tcW w:w="606" w:type="pct"/>
            <w:tcMar>
              <w:top w:w="20" w:type="nil"/>
              <w:left w:w="20" w:type="nil"/>
              <w:bottom w:w="20" w:type="nil"/>
              <w:right w:w="20" w:type="nil"/>
            </w:tcMar>
          </w:tcPr>
          <w:p w14:paraId="6787C3E6"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E</w:t>
            </w:r>
          </w:p>
        </w:tc>
        <w:tc>
          <w:tcPr>
            <w:tcW w:w="842" w:type="pct"/>
            <w:tcMar>
              <w:top w:w="20" w:type="nil"/>
              <w:left w:w="20" w:type="nil"/>
              <w:bottom w:w="20" w:type="nil"/>
              <w:right w:w="20" w:type="nil"/>
            </w:tcMar>
          </w:tcPr>
          <w:p w14:paraId="5E732B3D" w14:textId="77777777" w:rsidR="00AA3E06" w:rsidRPr="007E24AE" w:rsidRDefault="00AA3E06" w:rsidP="007E24AE">
            <w:pPr>
              <w:autoSpaceDE w:val="0"/>
              <w:autoSpaceDN w:val="0"/>
              <w:adjustRightInd w:val="0"/>
              <w:spacing w:after="0" w:line="288" w:lineRule="auto"/>
              <w:rPr>
                <w:rFonts w:cs="Times-Roman"/>
                <w:kern w:val="0"/>
                <w:sz w:val="22"/>
                <w:szCs w:val="22"/>
              </w:rPr>
            </w:pPr>
            <w:proofErr w:type="spellStart"/>
            <w:r w:rsidRPr="007E24AE">
              <w:rPr>
                <w:rFonts w:cs="Times-Roman"/>
                <w:kern w:val="0"/>
                <w:sz w:val="22"/>
                <w:szCs w:val="22"/>
              </w:rPr>
              <w:t>OpenAPI</w:t>
            </w:r>
            <w:proofErr w:type="spellEnd"/>
            <w:r w:rsidRPr="007E24AE">
              <w:rPr>
                <w:rFonts w:cs="Times-Roman"/>
                <w:kern w:val="0"/>
                <w:sz w:val="22"/>
                <w:szCs w:val="22"/>
              </w:rPr>
              <w:t xml:space="preserve"> Specifications</w:t>
            </w:r>
          </w:p>
        </w:tc>
        <w:tc>
          <w:tcPr>
            <w:tcW w:w="2110" w:type="pct"/>
            <w:tcMar>
              <w:top w:w="86" w:type="dxa"/>
              <w:left w:w="115" w:type="dxa"/>
              <w:bottom w:w="86" w:type="dxa"/>
              <w:right w:w="115" w:type="dxa"/>
            </w:tcMar>
          </w:tcPr>
          <w:p w14:paraId="034EB774"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Details the v1.5 API portal (Node.js, RESTful), including /query, /response, /feedback, /data, /user, and planned /</w:t>
            </w:r>
            <w:proofErr w:type="spellStart"/>
            <w:r w:rsidRPr="007E24AE">
              <w:rPr>
                <w:rFonts w:cs="Times-Roman"/>
                <w:kern w:val="0"/>
                <w:sz w:val="22"/>
                <w:szCs w:val="22"/>
              </w:rPr>
              <w:t>voice_query</w:t>
            </w:r>
            <w:proofErr w:type="spellEnd"/>
            <w:r w:rsidRPr="007E24AE">
              <w:rPr>
                <w:rFonts w:cs="Times-Roman"/>
                <w:kern w:val="0"/>
                <w:sz w:val="22"/>
                <w:szCs w:val="22"/>
              </w:rPr>
              <w:t xml:space="preserve">, /purchase endpoints (Section XI). Provides </w:t>
            </w:r>
            <w:proofErr w:type="spellStart"/>
            <w:r w:rsidRPr="007E24AE">
              <w:rPr>
                <w:rFonts w:cs="Times-Roman"/>
                <w:kern w:val="0"/>
                <w:sz w:val="22"/>
                <w:szCs w:val="22"/>
              </w:rPr>
              <w:t>OpenAPI</w:t>
            </w:r>
            <w:proofErr w:type="spellEnd"/>
            <w:r w:rsidRPr="007E24AE">
              <w:rPr>
                <w:rFonts w:cs="Times-Roman"/>
                <w:kern w:val="0"/>
                <w:sz w:val="22"/>
                <w:szCs w:val="22"/>
              </w:rPr>
              <w:t xml:space="preserve"> 3.0.3 specs, curl examples, and error handling (e.g., 400, 429). Supports OAuth 2.0 and e-commerce integrations.</w:t>
            </w:r>
          </w:p>
        </w:tc>
        <w:tc>
          <w:tcPr>
            <w:tcW w:w="743" w:type="pct"/>
            <w:tcMar>
              <w:top w:w="20" w:type="nil"/>
              <w:left w:w="20" w:type="nil"/>
              <w:bottom w:w="20" w:type="nil"/>
              <w:right w:w="144" w:type="dxa"/>
            </w:tcMar>
          </w:tcPr>
          <w:p w14:paraId="7DE08D04" w14:textId="75F9A745"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/YAML</w:t>
            </w:r>
          </w:p>
        </w:tc>
        <w:tc>
          <w:tcPr>
            <w:tcW w:w="700" w:type="pct"/>
            <w:tcMar>
              <w:top w:w="20" w:type="nil"/>
              <w:left w:w="20" w:type="nil"/>
              <w:bottom w:w="20" w:type="nil"/>
              <w:right w:w="20" w:type="nil"/>
            </w:tcMar>
          </w:tcPr>
          <w:p w14:paraId="2A8ED548"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 VI, VII, VIII, IX, XI</w:t>
            </w:r>
          </w:p>
        </w:tc>
      </w:tr>
      <w:tr w:rsidR="007E24AE" w14:paraId="7EC52111" w14:textId="77777777" w:rsidTr="007E24AE">
        <w:tblPrEx>
          <w:tblCellMar>
            <w:top w:w="0" w:type="dxa"/>
            <w:bottom w:w="0" w:type="dxa"/>
          </w:tblCellMar>
        </w:tblPrEx>
        <w:tc>
          <w:tcPr>
            <w:tcW w:w="606" w:type="pct"/>
            <w:tcMar>
              <w:top w:w="20" w:type="nil"/>
              <w:left w:w="20" w:type="nil"/>
              <w:bottom w:w="20" w:type="nil"/>
              <w:right w:w="20" w:type="nil"/>
            </w:tcMar>
          </w:tcPr>
          <w:p w14:paraId="3BEBCD1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F</w:t>
            </w:r>
          </w:p>
        </w:tc>
        <w:tc>
          <w:tcPr>
            <w:tcW w:w="842" w:type="pct"/>
            <w:tcMar>
              <w:top w:w="20" w:type="nil"/>
              <w:left w:w="20" w:type="nil"/>
              <w:bottom w:w="20" w:type="nil"/>
              <w:right w:w="20" w:type="nil"/>
            </w:tcMar>
          </w:tcPr>
          <w:p w14:paraId="6028F64D"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Domain Ontology</w:t>
            </w:r>
          </w:p>
        </w:tc>
        <w:tc>
          <w:tcPr>
            <w:tcW w:w="2110" w:type="pct"/>
            <w:tcMar>
              <w:top w:w="86" w:type="dxa"/>
              <w:left w:w="115" w:type="dxa"/>
              <w:bottom w:w="86" w:type="dxa"/>
              <w:right w:w="115" w:type="dxa"/>
            </w:tcMar>
          </w:tcPr>
          <w:p w14:paraId="1E7DD239"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Defines the Cannabis Knowledge Graph structure (Neo4j-based), covering 2,000+ strains, terpenes, cannabinoids, effects, and regulatory data for 50+ regions. Includes Cypher query examples and data sources (e.g., </w:t>
            </w:r>
            <w:proofErr w:type="spellStart"/>
            <w:r w:rsidRPr="007E24AE">
              <w:rPr>
                <w:rFonts w:cs="Times-Roman"/>
                <w:kern w:val="0"/>
                <w:sz w:val="22"/>
                <w:szCs w:val="22"/>
              </w:rPr>
              <w:t>Kannapedia’s</w:t>
            </w:r>
            <w:proofErr w:type="spellEnd"/>
            <w:r w:rsidRPr="007E24AE">
              <w:rPr>
                <w:rFonts w:cs="Times-Roman"/>
                <w:kern w:val="0"/>
                <w:sz w:val="22"/>
                <w:szCs w:val="22"/>
              </w:rPr>
              <w:t xml:space="preserve"> 2,241 strains). Updated for strain library correction (memo, May 4, 2025).</w:t>
            </w:r>
          </w:p>
        </w:tc>
        <w:tc>
          <w:tcPr>
            <w:tcW w:w="743" w:type="pct"/>
            <w:tcMar>
              <w:top w:w="20" w:type="nil"/>
              <w:left w:w="20" w:type="nil"/>
              <w:bottom w:w="20" w:type="nil"/>
              <w:right w:w="144" w:type="dxa"/>
            </w:tcMar>
          </w:tcPr>
          <w:p w14:paraId="5BF69DE9" w14:textId="4D94657F"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1F14DF3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 VIII, IX, XI</w:t>
            </w:r>
          </w:p>
        </w:tc>
      </w:tr>
    </w:tbl>
    <w:p w14:paraId="6B927751" w14:textId="77777777" w:rsidR="00AA3E06" w:rsidRPr="003C7CBA" w:rsidRDefault="00AA3E06" w:rsidP="003C7CBA">
      <w:pPr>
        <w:autoSpaceDE w:val="0"/>
        <w:autoSpaceDN w:val="0"/>
        <w:adjustRightInd w:val="0"/>
        <w:spacing w:before="240" w:after="120" w:line="240" w:lineRule="auto"/>
        <w:rPr>
          <w:rFonts w:asciiTheme="majorHAnsi" w:hAnsiTheme="majorHAnsi" w:cs="Times-Bold"/>
          <w:b/>
          <w:bCs/>
          <w:kern w:val="0"/>
          <w:sz w:val="36"/>
          <w:szCs w:val="36"/>
        </w:rPr>
      </w:pPr>
      <w:r w:rsidRPr="003C7CBA">
        <w:rPr>
          <w:rFonts w:asciiTheme="majorHAnsi" w:hAnsiTheme="majorHAnsi" w:cs="Times-Bold"/>
          <w:b/>
          <w:bCs/>
          <w:kern w:val="0"/>
          <w:sz w:val="36"/>
          <w:szCs w:val="36"/>
        </w:rPr>
        <w:t>Notes for Developers</w:t>
      </w:r>
    </w:p>
    <w:p w14:paraId="6CF85F3A" w14:textId="1A9371B2"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Access</w:t>
      </w:r>
      <w:r w:rsidRPr="003C7CBA">
        <w:rPr>
          <w:rFonts w:cs="Times-Roman"/>
          <w:kern w:val="0"/>
        </w:rPr>
        <w:t xml:space="preserve">: Appendices are </w:t>
      </w:r>
      <w:r w:rsidR="003C7CBA">
        <w:rPr>
          <w:rFonts w:cs="Times-Roman"/>
          <w:kern w:val="0"/>
        </w:rPr>
        <w:t xml:space="preserve">available </w:t>
      </w:r>
      <w:r w:rsidRPr="003C7CBA">
        <w:rPr>
          <w:rFonts w:cs="Times-Roman"/>
          <w:kern w:val="0"/>
        </w:rPr>
        <w:t xml:space="preserve">in a separate </w:t>
      </w:r>
      <w:r w:rsidRPr="003C7CBA">
        <w:rPr>
          <w:rFonts w:cs="Times-Italic"/>
          <w:i/>
          <w:iCs/>
          <w:kern w:val="0"/>
        </w:rPr>
        <w:t>.docx</w:t>
      </w:r>
      <w:r w:rsidRPr="003C7CBA">
        <w:rPr>
          <w:rFonts w:cs="Times-Roman"/>
          <w:kern w:val="0"/>
        </w:rPr>
        <w:t xml:space="preserve"> document, cross-referenced in Sections I–XI for implementation, testing, and debugging.</w:t>
      </w:r>
    </w:p>
    <w:p w14:paraId="0F6A1734"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Usage</w:t>
      </w:r>
      <w:r w:rsidRPr="003C7CBA">
        <w:rPr>
          <w:rFonts w:cs="Times-Roman"/>
          <w:kern w:val="0"/>
        </w:rPr>
        <w:t>: Use Appendix C for schema validation, Appendix D for test execution, and Appendix E for API integration. Appendices A, B, and F provide context for versioning, ethics, and domain data.</w:t>
      </w:r>
    </w:p>
    <w:p w14:paraId="7408E55A"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lastRenderedPageBreak/>
        <w:t>Extensibility</w:t>
      </w:r>
      <w:r w:rsidRPr="003C7CBA">
        <w:rPr>
          <w:rFonts w:cs="Times-Roman"/>
          <w:kern w:val="0"/>
        </w:rPr>
        <w:t xml:space="preserve">: Appendices C, D, and </w:t>
      </w:r>
      <w:proofErr w:type="spellStart"/>
      <w:r w:rsidRPr="003C7CBA">
        <w:rPr>
          <w:rFonts w:cs="Times-Roman"/>
          <w:kern w:val="0"/>
        </w:rPr>
        <w:t>E</w:t>
      </w:r>
      <w:proofErr w:type="spellEnd"/>
      <w:r w:rsidRPr="003C7CBA">
        <w:rPr>
          <w:rFonts w:cs="Times-Roman"/>
          <w:kern w:val="0"/>
        </w:rPr>
        <w:t xml:space="preserve"> are designed for future updates (e.g., multilingual schemas, voice test cases, new API endpoints), supporting Q3 2025–Q4 2026 milestones (Section XI).</w:t>
      </w:r>
    </w:p>
    <w:p w14:paraId="1453A822"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Consistency</w:t>
      </w:r>
      <w:r w:rsidRPr="003C7CBA">
        <w:rPr>
          <w:rFonts w:cs="Times-Roman"/>
          <w:kern w:val="0"/>
        </w:rPr>
        <w:t>: All appendices reflect the corrected "2000+ strain library" (Appendix F) and adhere to ethical protocols (Appendix B).</w:t>
      </w:r>
    </w:p>
    <w:p w14:paraId="6865CC55" w14:textId="77777777" w:rsidR="00AA3E06" w:rsidRPr="003C7CBA" w:rsidRDefault="00AA3E06" w:rsidP="003C7CBA">
      <w:pPr>
        <w:autoSpaceDE w:val="0"/>
        <w:autoSpaceDN w:val="0"/>
        <w:adjustRightInd w:val="0"/>
        <w:spacing w:before="240" w:after="120" w:line="240" w:lineRule="auto"/>
        <w:rPr>
          <w:rFonts w:asciiTheme="majorHAnsi" w:hAnsiTheme="majorHAnsi" w:cs="Times-Bold"/>
          <w:b/>
          <w:bCs/>
          <w:kern w:val="0"/>
          <w:sz w:val="36"/>
          <w:szCs w:val="36"/>
        </w:rPr>
      </w:pPr>
      <w:r w:rsidRPr="003C7CBA">
        <w:rPr>
          <w:rFonts w:asciiTheme="majorHAnsi" w:hAnsiTheme="majorHAnsi" w:cs="Times-Bold"/>
          <w:b/>
          <w:bCs/>
          <w:kern w:val="0"/>
          <w:sz w:val="36"/>
          <w:szCs w:val="36"/>
        </w:rPr>
        <w:t>Narrative Context</w:t>
      </w:r>
    </w:p>
    <w:p w14:paraId="245CCA9F" w14:textId="257D8AD0" w:rsidR="00AA3E06" w:rsidRPr="003C7CBA" w:rsidRDefault="00AA3E06" w:rsidP="003C7CBA">
      <w:pPr>
        <w:autoSpaceDE w:val="0"/>
        <w:autoSpaceDN w:val="0"/>
        <w:adjustRightInd w:val="0"/>
        <w:spacing w:after="120" w:line="288" w:lineRule="auto"/>
        <w:rPr>
          <w:rFonts w:cs="Times-Roman"/>
          <w:kern w:val="0"/>
        </w:rPr>
      </w:pPr>
      <w:r w:rsidRPr="003C7CBA">
        <w:rPr>
          <w:rFonts w:cs="Times-Roman"/>
          <w:kern w:val="0"/>
        </w:rPr>
        <w:t xml:space="preserve">In the hero’s journey, the Table of Appendices is the map that guides the development team through the rich resources supporting Atlas PALM v1.5. It ensures every tool—from schemas to test cases—is readily accessible, empowering developers to craft a platform that transforms the hero’s cannabis exploration. </w:t>
      </w:r>
      <w:r w:rsidR="003C7CBA">
        <w:rPr>
          <w:rFonts w:cs="Times-Roman"/>
          <w:kern w:val="0"/>
        </w:rPr>
        <w:t>T</w:t>
      </w:r>
      <w:r w:rsidRPr="003C7CBA">
        <w:rPr>
          <w:rFonts w:cs="Times-Roman"/>
          <w:kern w:val="0"/>
        </w:rPr>
        <w:t>his</w:t>
      </w:r>
      <w:r w:rsidR="003C7CBA">
        <w:rPr>
          <w:rFonts w:cs="Times-Roman"/>
          <w:kern w:val="0"/>
        </w:rPr>
        <w:t xml:space="preserve"> Appendices T</w:t>
      </w:r>
      <w:r w:rsidRPr="003C7CBA">
        <w:rPr>
          <w:rFonts w:cs="Times-Roman"/>
          <w:kern w:val="0"/>
        </w:rPr>
        <w:t>able is a beacon of clarity, streamlining access to the materials that bring Atlas to life.</w:t>
      </w:r>
    </w:p>
    <w:p w14:paraId="72E6D67D" w14:textId="77777777" w:rsidR="004F47DE" w:rsidRDefault="004F47DE"/>
    <w:sectPr w:rsidR="004F47DE" w:rsidSect="00AA3E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3516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06"/>
    <w:rsid w:val="001B349B"/>
    <w:rsid w:val="00214E23"/>
    <w:rsid w:val="002B3FBE"/>
    <w:rsid w:val="002C60B1"/>
    <w:rsid w:val="003C7CBA"/>
    <w:rsid w:val="003F693D"/>
    <w:rsid w:val="00465D62"/>
    <w:rsid w:val="004C2BC7"/>
    <w:rsid w:val="004F47DE"/>
    <w:rsid w:val="00532256"/>
    <w:rsid w:val="006D082B"/>
    <w:rsid w:val="0076349A"/>
    <w:rsid w:val="00783FAA"/>
    <w:rsid w:val="007A3ADE"/>
    <w:rsid w:val="007E24AE"/>
    <w:rsid w:val="009A2A3C"/>
    <w:rsid w:val="00A71538"/>
    <w:rsid w:val="00AA3E06"/>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AA374"/>
  <w15:chartTrackingRefBased/>
  <w15:docId w15:val="{E9DC7707-376B-A346-88BC-4F9D6AE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E06"/>
    <w:rPr>
      <w:rFonts w:eastAsiaTheme="majorEastAsia" w:cstheme="majorBidi"/>
      <w:color w:val="272727" w:themeColor="text1" w:themeTint="D8"/>
    </w:rPr>
  </w:style>
  <w:style w:type="paragraph" w:styleId="Title">
    <w:name w:val="Title"/>
    <w:basedOn w:val="Normal"/>
    <w:next w:val="Normal"/>
    <w:link w:val="TitleChar"/>
    <w:uiPriority w:val="10"/>
    <w:qFormat/>
    <w:rsid w:val="00AA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E06"/>
    <w:pPr>
      <w:spacing w:before="160"/>
      <w:jc w:val="center"/>
    </w:pPr>
    <w:rPr>
      <w:i/>
      <w:iCs/>
      <w:color w:val="404040" w:themeColor="text1" w:themeTint="BF"/>
    </w:rPr>
  </w:style>
  <w:style w:type="character" w:customStyle="1" w:styleId="QuoteChar">
    <w:name w:val="Quote Char"/>
    <w:basedOn w:val="DefaultParagraphFont"/>
    <w:link w:val="Quote"/>
    <w:uiPriority w:val="29"/>
    <w:rsid w:val="00AA3E06"/>
    <w:rPr>
      <w:i/>
      <w:iCs/>
      <w:color w:val="404040" w:themeColor="text1" w:themeTint="BF"/>
    </w:rPr>
  </w:style>
  <w:style w:type="paragraph" w:styleId="ListParagraph">
    <w:name w:val="List Paragraph"/>
    <w:basedOn w:val="Normal"/>
    <w:uiPriority w:val="34"/>
    <w:qFormat/>
    <w:rsid w:val="00AA3E06"/>
    <w:pPr>
      <w:ind w:left="720"/>
      <w:contextualSpacing/>
    </w:pPr>
  </w:style>
  <w:style w:type="character" w:styleId="IntenseEmphasis">
    <w:name w:val="Intense Emphasis"/>
    <w:basedOn w:val="DefaultParagraphFont"/>
    <w:uiPriority w:val="21"/>
    <w:qFormat/>
    <w:rsid w:val="00AA3E06"/>
    <w:rPr>
      <w:i/>
      <w:iCs/>
      <w:color w:val="0F4761" w:themeColor="accent1" w:themeShade="BF"/>
    </w:rPr>
  </w:style>
  <w:style w:type="paragraph" w:styleId="IntenseQuote">
    <w:name w:val="Intense Quote"/>
    <w:basedOn w:val="Normal"/>
    <w:next w:val="Normal"/>
    <w:link w:val="IntenseQuoteChar"/>
    <w:uiPriority w:val="30"/>
    <w:qFormat/>
    <w:rsid w:val="00AA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E06"/>
    <w:rPr>
      <w:i/>
      <w:iCs/>
      <w:color w:val="0F4761" w:themeColor="accent1" w:themeShade="BF"/>
    </w:rPr>
  </w:style>
  <w:style w:type="character" w:styleId="IntenseReference">
    <w:name w:val="Intense Reference"/>
    <w:basedOn w:val="DefaultParagraphFont"/>
    <w:uiPriority w:val="32"/>
    <w:qFormat/>
    <w:rsid w:val="00AA3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2025-05-06T07:07:00Z</dcterms:created>
  <dcterms:modified xsi:type="dcterms:W3CDTF">2025-05-06T07:34:00Z</dcterms:modified>
</cp:coreProperties>
</file>