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TRACE</w:t>
      </w:r>
    </w:p>
    <w:p>
      <w:r>
        <w:t>Tracking, Revision, Auditing, Comparison &amp; Evaluation</w:t>
      </w:r>
    </w:p>
    <w:p>
      <w:r>
        <w:t>Design Decisions &amp; Development Notes</w:t>
      </w:r>
    </w:p>
    <w:p>
      <w:r>
        <w:t>Working engineering reference  |  As of 11 October 2026</w:t>
      </w:r>
    </w:p>
    <w:p>
      <w:r>
        <w:t>Status key: VERIFIED = exercised in reported tests; IMPLEMENTED = described in working code but not independently rechecked here; PLANNED = not implemented; VERIFY = reconcile with current files before treating as fact.</w:t>
      </w:r>
    </w:p>
    <w:p>
      <w:pPr>
        <w:pStyle w:val="Heading1"/>
      </w:pPr>
      <w:r>
        <w:t>1. Project purpose and scope</w:t>
      </w:r>
    </w:p>
    <w:p>
      <w:r>
        <w:t>TRACE is a local Flask/Python/SQL Server Express application for Rockwell PLC equipment inventory, Ethernet/IP identity monitoring, hardware replacement tracking, backup history, audit records, and future program comparison. Its central goal is to preserve equipment history when a physical processor is changed, while making unexpected identity changes visible to technicians.</w:t>
      </w:r>
    </w:p>
    <w:p>
      <w:pPr>
        <w:pStyle w:val="Heading1"/>
      </w:pPr>
      <w:r>
        <w:t>2. Operating environment and repository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sz w:val="16"/>
              </w:rPr>
              <w:t>Area</w:t>
            </w:r>
          </w:p>
        </w:tc>
        <w:tc>
          <w:tcPr>
            <w:tcW w:type="dxa" w:w="4320"/>
          </w:tcPr>
          <w:p>
            <w:r>
              <w:rPr>
                <w:sz w:val="16"/>
              </w:rPr>
              <w:t>Current reference</w:t>
            </w:r>
          </w:p>
        </w:tc>
      </w:tr>
      <w:tr>
        <w:tc>
          <w:tcPr>
            <w:tcW w:type="dxa" w:w="4320"/>
          </w:tcPr>
          <w:p>
            <w:r>
              <w:rPr>
                <w:sz w:val="16"/>
              </w:rPr>
              <w:t>Local working folder</w:t>
            </w:r>
          </w:p>
        </w:tc>
        <w:tc>
          <w:tcPr>
            <w:tcW w:type="dxa" w:w="4320"/>
          </w:tcPr>
          <w:p>
            <w:r>
              <w:rPr>
                <w:sz w:val="16"/>
              </w:rPr>
              <w:t>C:\Users\ElecShop\TRACE_Latest</w:t>
            </w:r>
          </w:p>
        </w:tc>
      </w:tr>
      <w:tr>
        <w:tc>
          <w:tcPr>
            <w:tcW w:type="dxa" w:w="4320"/>
          </w:tcPr>
          <w:p>
            <w:r>
              <w:rPr>
                <w:sz w:val="16"/>
              </w:rPr>
              <w:t>Repository</w:t>
            </w:r>
          </w:p>
        </w:tc>
        <w:tc>
          <w:tcPr>
            <w:tcW w:type="dxa" w:w="4320"/>
          </w:tcPr>
          <w:p>
            <w:r>
              <w:rPr>
                <w:sz w:val="16"/>
              </w:rPr>
              <w:t>github.com/ZachLawver/PLC_Version_Manager</w:t>
            </w:r>
          </w:p>
        </w:tc>
      </w:tr>
      <w:tr>
        <w:tc>
          <w:tcPr>
            <w:tcW w:type="dxa" w:w="4320"/>
          </w:tcPr>
          <w:p>
            <w:r>
              <w:rPr>
                <w:sz w:val="16"/>
              </w:rPr>
              <w:t>Web application</w:t>
            </w:r>
          </w:p>
        </w:tc>
        <w:tc>
          <w:tcPr>
            <w:tcW w:type="dxa" w:w="4320"/>
          </w:tcPr>
          <w:p>
            <w:r>
              <w:rPr>
                <w:sz w:val="16"/>
              </w:rPr>
              <w:t>Flask; local development endpoint 127.0.0.1:5000</w:t>
            </w:r>
          </w:p>
        </w:tc>
      </w:tr>
      <w:tr>
        <w:tc>
          <w:tcPr>
            <w:tcW w:type="dxa" w:w="4320"/>
          </w:tcPr>
          <w:p>
            <w:r>
              <w:rPr>
                <w:sz w:val="16"/>
              </w:rPr>
              <w:t>Database</w:t>
            </w:r>
          </w:p>
        </w:tc>
        <w:tc>
          <w:tcPr>
            <w:tcW w:type="dxa" w:w="4320"/>
          </w:tcPr>
          <w:p>
            <w:r>
              <w:rPr>
                <w:sz w:val="16"/>
              </w:rPr>
              <w:t>SQL Server Express: localhost\SQLEXPRESS; TRACE; Windows authentication; ODBC Driver 18</w:t>
            </w:r>
          </w:p>
        </w:tc>
      </w:tr>
      <w:tr>
        <w:tc>
          <w:tcPr>
            <w:tcW w:type="dxa" w:w="4320"/>
          </w:tcPr>
          <w:p>
            <w:r>
              <w:rPr>
                <w:sz w:val="16"/>
              </w:rPr>
              <w:t>Controller communication</w:t>
            </w:r>
          </w:p>
        </w:tc>
        <w:tc>
          <w:tcPr>
            <w:tcW w:type="dxa" w:w="4320"/>
          </w:tcPr>
          <w:p>
            <w:r>
              <w:rPr>
                <w:sz w:val="16"/>
              </w:rPr>
              <w:t>pycomm3.CIPDriver; get_module_info(0) for CIP identity</w:t>
            </w:r>
          </w:p>
        </w:tc>
      </w:tr>
      <w:tr>
        <w:tc>
          <w:tcPr>
            <w:tcW w:type="dxa" w:w="4320"/>
          </w:tcPr>
          <w:p>
            <w:r>
              <w:rPr>
                <w:sz w:val="16"/>
              </w:rPr>
              <w:t>Example bench target</w:t>
            </w:r>
          </w:p>
        </w:tc>
        <w:tc>
          <w:tcPr>
            <w:tcW w:type="dxa" w:w="4320"/>
          </w:tcPr>
          <w:p>
            <w:r>
              <w:rPr>
                <w:sz w:val="16"/>
              </w:rPr>
              <w:t>CompactLogix 1769-L30ER/A, firmware 30.11, at 192.168.1.1 (example only)</w:t>
            </w:r>
          </w:p>
        </w:tc>
      </w:tr>
    </w:tbl>
    <w:p>
      <w:r>
        <w:t>Do not assume the current source tree precisely matches this reference until checked against Git and the local files.</w:t>
      </w:r>
    </w:p>
    <w:p>
      <w:pPr>
        <w:pStyle w:val="Heading1"/>
      </w:pPr>
      <w:r>
        <w:t>3. Formal design decisions</w:t>
      </w:r>
    </w:p>
    <w:p>
      <w:pPr>
        <w:pStyle w:val="Heading2"/>
      </w:pPr>
      <w:r>
        <w:t>DD-001 — Equipment identity is permanent</w:t>
      </w:r>
    </w:p>
    <w:p>
      <w:r>
        <w:t>Each equipment location is assigned a permanent ControllerID. ControllerName is a human-friendly mutable label; IP address is a communication locator, not a permanent identity. Physical processor serial numbers are not shown in the normal technician UI. Rationale: hardware swaps and network changes must not erase equipment history.</w:t>
      </w:r>
    </w:p>
    <w:p>
      <w:pPr>
        <w:pStyle w:val="Heading2"/>
      </w:pPr>
      <w:r>
        <w:t>DD-002 — Physical hardware history is separate</w:t>
      </w:r>
    </w:p>
    <w:p>
      <w:r>
        <w:t>dbo.Controllers represents the enduring equipment record; dbo.ControllerHardware represents the physical processor installed over time. Only one active hardware record is permitted per ControllerID, and an active serial cannot belong to two equipment records. A newly observed serial at an already assigned IP is treated as a possible replacement, not automatically accepted.</w:t>
      </w:r>
    </w:p>
    <w:p>
      <w:r>
        <w:t>Confirmation requires an explicit technician action. A serial found in historical hardware records must be manually reviewed rather than automatically reassigned, even if currently inactive. A new serial on a previously unused IP can create a new equipment record under current registration behavior.</w:t>
      </w:r>
    </w:p>
    <w:p>
      <w:pPr>
        <w:pStyle w:val="Heading2"/>
      </w:pPr>
      <w:r>
        <w:t>DD-003 — Expected program identity is separate from hardware</w:t>
      </w:r>
    </w:p>
    <w:p>
      <w:r>
        <w:t>The desired or approved PLC program identity must be tracked separately from the processor serial and equipment identity. This avoids treating a physical hardware replacement as an authorized program revision. PLANNED: approved program baseline, attribution, and reconciliation rules.</w:t>
      </w:r>
    </w:p>
    <w:p>
      <w:pPr>
        <w:pStyle w:val="Heading2"/>
      </w:pPr>
      <w:r>
        <w:t>DD-004 — Compare against approved logic, not merely file timestamps</w:t>
      </w:r>
    </w:p>
    <w:p>
      <w:r>
        <w:t>Future program-drift detection should compare normalized live logic against the last approved backup. An 80% normalized-logic similarity threshold has been discussed as provisional, not validated or deployed. Live PLC logic extraction and a trustworthy comparison algorithm are NOT implemented. Current Ethernet monitoring reads CIP hardware identity only.</w:t>
      </w:r>
    </w:p>
    <w:p>
      <w:pPr>
        <w:pStyle w:val="Heading2"/>
      </w:pPr>
      <w:r>
        <w:t>DD-005 — Replacement actions must be atomic and revalidated</w:t>
      </w:r>
    </w:p>
    <w:p>
      <w:r>
        <w:t>Replacement confirmation re-reads live PLC identity and requires the detected serial to match the pending warning. Within a SERIALIZABLE SQL transaction it locks/rechecks the event and equipment, rejects active or historical serial conflicts, retires old hardware, inserts new hardware, updates the controller snapshot, and resolves the event. Errors roll back the transaction. Tests cover mismatched serial, historical serial and forced SQL failure; race conditions beyond those tests remain a verification area.</w:t>
      </w:r>
    </w:p>
    <w:p>
      <w:pPr>
        <w:pStyle w:val="Heading2"/>
      </w:pPr>
      <w:r>
        <w:t>DD-006 — Technician decisions are recorded, but not yet authenticated</w:t>
      </w:r>
    </w:p>
    <w:p>
      <w:r>
        <w:t>ResolvedBy and ResolutionNotes capture technician-entered attribution for confirmation or dismissal. These are free-text fields, not verified identities. Until authentication, authorization and CSRF protection exist, they are operational notes rather than a tamper-resistant audit trail. Do not expose the development application to an untrusted network.</w:t>
      </w:r>
    </w:p>
    <w:p>
      <w:pPr>
        <w:pStyle w:val="Heading1"/>
      </w:pPr>
      <w:r>
        <w:t>4. Data model</w:t>
      </w:r>
    </w:p>
    <w:p>
      <w:pPr>
        <w:pStyle w:val="Heading2"/>
      </w:pPr>
      <w:r>
        <w:t>4.1 Tables and important columns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sz w:val="16"/>
              </w:rPr>
              <w:t>Table</w:t>
            </w:r>
          </w:p>
        </w:tc>
        <w:tc>
          <w:tcPr>
            <w:tcW w:type="dxa" w:w="4320"/>
          </w:tcPr>
          <w:p>
            <w:r>
              <w:rPr>
                <w:sz w:val="16"/>
              </w:rPr>
              <w:t>Purpose / columns</w:t>
            </w:r>
          </w:p>
        </w:tc>
      </w:tr>
      <w:tr>
        <w:tc>
          <w:tcPr>
            <w:tcW w:type="dxa" w:w="4320"/>
          </w:tcPr>
          <w:p>
            <w:r>
              <w:rPr>
                <w:sz w:val="16"/>
              </w:rPr>
              <w:t>dbo.Controllers</w:t>
            </w:r>
          </w:p>
        </w:tc>
        <w:tc>
          <w:tcPr>
            <w:tcW w:type="dxa" w:w="4320"/>
          </w:tcPr>
          <w:p>
            <w:r>
              <w:rPr>
                <w:sz w:val="16"/>
              </w:rPr>
              <w:t>ControllerID (identity PK), ControllerName (unique), IPAddress, PLCModel, ControllerFamily, CreatedAt, FirmwareMajor, FirmwareMinor, SerialNumber (legacy/current snapshot), LastSeen, CommunicationStatus</w:t>
            </w:r>
          </w:p>
        </w:tc>
      </w:tr>
      <w:tr>
        <w:tc>
          <w:tcPr>
            <w:tcW w:type="dxa" w:w="4320"/>
          </w:tcPr>
          <w:p>
            <w:r>
              <w:rPr>
                <w:sz w:val="16"/>
              </w:rPr>
              <w:t>dbo.ControllerHardware</w:t>
            </w:r>
          </w:p>
        </w:tc>
        <w:tc>
          <w:tcPr>
            <w:tcW w:type="dxa" w:w="4320"/>
          </w:tcPr>
          <w:p>
            <w:r>
              <w:rPr>
                <w:sz w:val="16"/>
              </w:rPr>
              <w:t>HardwareID (identity PK), ControllerID (FK), SerialNumber, PLCModel, FirmwareMajor, FirmwareMinor, InstalledAt, RemovedAt, LastSeen</w:t>
            </w:r>
          </w:p>
        </w:tc>
      </w:tr>
      <w:tr>
        <w:tc>
          <w:tcPr>
            <w:tcW w:type="dxa" w:w="4320"/>
          </w:tcPr>
          <w:p>
            <w:r>
              <w:rPr>
                <w:sz w:val="16"/>
              </w:rPr>
              <w:t>dbo.HardwareEvents</w:t>
            </w:r>
          </w:p>
        </w:tc>
        <w:tc>
          <w:tcPr>
            <w:tcW w:type="dxa" w:w="4320"/>
          </w:tcPr>
          <w:p>
            <w:r>
              <w:rPr>
                <w:sz w:val="16"/>
              </w:rPr>
              <w:t>EventID (identity PK), ControllerID (FK), EventType, DetectedSerialNumber, DetectedIPAddress, EventStatus, DetectedAt, ResolvedAt, ResolutionNotes, ResolvedBy</w:t>
            </w:r>
          </w:p>
        </w:tc>
      </w:tr>
      <w:tr>
        <w:tc>
          <w:tcPr>
            <w:tcW w:type="dxa" w:w="4320"/>
          </w:tcPr>
          <w:p>
            <w:r>
              <w:rPr>
                <w:sz w:val="16"/>
              </w:rPr>
              <w:t>dbo.Backups</w:t>
            </w:r>
          </w:p>
        </w:tc>
        <w:tc>
          <w:tcPr>
            <w:tcW w:type="dxa" w:w="4320"/>
          </w:tcPr>
          <w:p>
            <w:r>
              <w:rPr>
                <w:sz w:val="16"/>
              </w:rPr>
              <w:t>BackupID, ControllerID (FK), FilePath, FileHash, CreatedAt</w:t>
            </w:r>
          </w:p>
        </w:tc>
      </w:tr>
      <w:tr>
        <w:tc>
          <w:tcPr>
            <w:tcW w:type="dxa" w:w="4320"/>
          </w:tcPr>
          <w:p>
            <w:r>
              <w:rPr>
                <w:sz w:val="16"/>
              </w:rPr>
              <w:t>dbo.RungChanges</w:t>
            </w:r>
          </w:p>
        </w:tc>
        <w:tc>
          <w:tcPr>
            <w:tcW w:type="dxa" w:w="4320"/>
          </w:tcPr>
          <w:p>
            <w:r>
              <w:rPr>
                <w:sz w:val="16"/>
              </w:rPr>
              <w:t>ChangeID, ControllerID (FK), RungNumber, ChangeType, OldLogic, NewLogic, DetectedAt</w:t>
            </w:r>
          </w:p>
        </w:tc>
      </w:tr>
    </w:tbl>
    <w:p>
      <w:pPr>
        <w:pStyle w:val="Heading2"/>
      </w:pPr>
      <w:r>
        <w:t>4.2 Constraints, lifecycle and timestamps</w:t>
      </w:r>
    </w:p>
    <w:p>
      <w:pPr>
        <w:pStyle w:val="ListBullet"/>
      </w:pPr>
      <w:r>
        <w:t>Filtered unique indexes enforce one active ControllerHardware row per equipment and one active use of each serial.</w:t>
      </w:r>
    </w:p>
    <w:p>
      <w:pPr>
        <w:pStyle w:val="ListBullet"/>
      </w:pPr>
      <w:r>
        <w:t>HardwareEvents defaults: EventStatus = Pending; DetectedAt = SYSUTCDATETIME(); ResolvedAt is null until action.</w:t>
      </w:r>
    </w:p>
    <w:p>
      <w:pPr>
        <w:pStyle w:val="ListBullet"/>
      </w:pPr>
      <w:r>
        <w:t>ControllerHardware InstalledAt defaults to UTC; RemovedAt null indicates active installation.</w:t>
      </w:r>
    </w:p>
    <w:p>
      <w:pPr>
        <w:pStyle w:val="ListBullet"/>
      </w:pPr>
      <w:r>
        <w:t>Typical warning: EventType = PossibleReplacement; statuses include Pending, Confirmed and Dismissed.</w:t>
      </w:r>
    </w:p>
    <w:p>
      <w:pPr>
        <w:pStyle w:val="ListBullet"/>
      </w:pPr>
      <w:r>
        <w:t>ResolvedBy NVARCHAR(150) was added manually to the SQL database and reported successful. VERIFY: the idempotent setup script may not yet create this column on a fresh install.</w:t>
      </w:r>
    </w:p>
    <w:p>
      <w:pPr>
        <w:pStyle w:val="ListBullet"/>
      </w:pPr>
      <w:r>
        <w:t>ResolutionNotes NVARCHAR(1000); application forms are intended to require a technician name (1–150 characters) and notes (1–1000 characters).</w:t>
      </w:r>
    </w:p>
    <w:p>
      <w:pPr>
        <w:pStyle w:val="Heading2"/>
      </w:pPr>
      <w:r>
        <w:t>4.3 Data integrity rules</w:t>
      </w:r>
    </w:p>
    <w:p>
      <w:pPr>
        <w:pStyle w:val="ListBullet"/>
      </w:pPr>
      <w:r>
        <w:t>Never silently overwrite a controller’s current serial when an unfamiliar processor appears at its assigned IP.</w:t>
      </w:r>
    </w:p>
    <w:p>
      <w:pPr>
        <w:pStyle w:val="ListBullet"/>
      </w:pPr>
      <w:r>
        <w:t>Never reuse a historical serial automatically; require separate review workflow.</w:t>
      </w:r>
    </w:p>
    <w:p>
      <w:pPr>
        <w:pStyle w:val="ListBullet"/>
      </w:pPr>
      <w:r>
        <w:t>Never resolve an event without verifying it is still Pending.</w:t>
      </w:r>
    </w:p>
    <w:p>
      <w:pPr>
        <w:pStyle w:val="ListBullet"/>
      </w:pPr>
      <w:r>
        <w:t>Never partially update hardware, controller snapshot and event state; use one transaction.</w:t>
      </w:r>
    </w:p>
    <w:p>
      <w:pPr>
        <w:pStyle w:val="ListBullet"/>
      </w:pPr>
      <w:r>
        <w:t>Do not use a friendly name or IP address as a substitute for permanent ControllerID.</w:t>
      </w:r>
    </w:p>
    <w:p>
      <w:pPr>
        <w:pStyle w:val="ListBullet"/>
      </w:pPr>
      <w:r>
        <w:t>Protect serials and other identifiers in database access even when hidden from the user interface.</w:t>
      </w:r>
    </w:p>
    <w:p>
      <w:pPr>
        <w:pStyle w:val="Heading1"/>
      </w:pPr>
      <w:r>
        <w:t>5. Application modules and routes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sz w:val="16"/>
              </w:rPr>
              <w:t>File / route</w:t>
            </w:r>
          </w:p>
        </w:tc>
        <w:tc>
          <w:tcPr>
            <w:tcW w:type="dxa" w:w="4320"/>
          </w:tcPr>
          <w:p>
            <w:r>
              <w:rPr>
                <w:sz w:val="16"/>
              </w:rPr>
              <w:t>Role and status</w:t>
            </w:r>
          </w:p>
        </w:tc>
      </w:tr>
      <w:tr>
        <w:tc>
          <w:tcPr>
            <w:tcW w:type="dxa" w:w="4320"/>
          </w:tcPr>
          <w:p>
            <w:r>
              <w:rPr>
                <w:sz w:val="16"/>
              </w:rPr>
              <w:t>V0.011_Web.py</w:t>
            </w:r>
          </w:p>
        </w:tc>
        <w:tc>
          <w:tcPr>
            <w:tcW w:type="dxa" w:w="4320"/>
          </w:tcPr>
          <w:p>
            <w:r>
              <w:rPr>
                <w:sz w:val="16"/>
              </w:rPr>
              <w:t>Flask dashboard and routes; IMPLEMENTED</w:t>
            </w:r>
          </w:p>
        </w:tc>
      </w:tr>
      <w:tr>
        <w:tc>
          <w:tcPr>
            <w:tcW w:type="dxa" w:w="4320"/>
          </w:tcPr>
          <w:p>
            <w:r>
              <w:rPr>
                <w:sz w:val="16"/>
              </w:rPr>
              <w:t>V0.012_Controller_ID.py</w:t>
            </w:r>
          </w:p>
        </w:tc>
        <w:tc>
          <w:tcPr>
            <w:tcW w:type="dxa" w:w="4320"/>
          </w:tcPr>
          <w:p>
            <w:r>
              <w:rPr>
                <w:sz w:val="16"/>
              </w:rPr>
              <w:t>Controller identification/import module; details should be verified against source</w:t>
            </w:r>
          </w:p>
        </w:tc>
      </w:tr>
      <w:tr>
        <w:tc>
          <w:tcPr>
            <w:tcW w:type="dxa" w:w="4320"/>
          </w:tcPr>
          <w:p>
            <w:r>
              <w:rPr>
                <w:sz w:val="16"/>
              </w:rPr>
              <w:t>V0_013_Database_Setup.py</w:t>
            </w:r>
          </w:p>
        </w:tc>
        <w:tc>
          <w:tcPr>
            <w:tcW w:type="dxa" w:w="4320"/>
          </w:tcPr>
          <w:p>
            <w:r>
              <w:rPr>
                <w:sz w:val="16"/>
              </w:rPr>
              <w:t>Idempotent database creation/migrations; VERIFY ResolvedBy migration</w:t>
            </w:r>
          </w:p>
        </w:tc>
      </w:tr>
      <w:tr>
        <w:tc>
          <w:tcPr>
            <w:tcW w:type="dxa" w:w="4320"/>
          </w:tcPr>
          <w:p>
            <w:r>
              <w:rPr>
                <w:sz w:val="16"/>
              </w:rPr>
              <w:t>V0.014_Ethernet_Monitor.py</w:t>
            </w:r>
          </w:p>
        </w:tc>
        <w:tc>
          <w:tcPr>
            <w:tcW w:type="dxa" w:w="4320"/>
          </w:tcPr>
          <w:p>
            <w:r>
              <w:rPr>
                <w:sz w:val="16"/>
              </w:rPr>
              <w:t>CIP identify, register and confirm replacement; IMPLEMENTED and tested</w:t>
            </w:r>
          </w:p>
        </w:tc>
      </w:tr>
      <w:tr>
        <w:tc>
          <w:tcPr>
            <w:tcW w:type="dxa" w:w="4320"/>
          </w:tcPr>
          <w:p>
            <w:r>
              <w:rPr>
                <w:sz w:val="16"/>
              </w:rPr>
              <w:t>/</w:t>
            </w:r>
          </w:p>
        </w:tc>
        <w:tc>
          <w:tcPr>
            <w:tcW w:type="dxa" w:w="4320"/>
          </w:tcPr>
          <w:p>
            <w:r>
              <w:rPr>
                <w:sz w:val="16"/>
              </w:rPr>
              <w:t>Dashboard from get_dashboard_data()</w:t>
            </w:r>
          </w:p>
        </w:tc>
      </w:tr>
      <w:tr>
        <w:tc>
          <w:tcPr>
            <w:tcW w:type="dxa" w:w="4320"/>
          </w:tcPr>
          <w:p>
            <w:r>
              <w:rPr>
                <w:sz w:val="16"/>
              </w:rPr>
              <w:t>/controllers</w:t>
            </w:r>
          </w:p>
        </w:tc>
        <w:tc>
          <w:tcPr>
            <w:tcW w:type="dxa" w:w="4320"/>
          </w:tcPr>
          <w:p>
            <w:r>
              <w:rPr>
                <w:sz w:val="16"/>
              </w:rPr>
              <w:t>Identify, L5X register/upload, scan, rename, confirm replacement, dismiss warning</w:t>
            </w:r>
          </w:p>
        </w:tc>
      </w:tr>
      <w:tr>
        <w:tc>
          <w:tcPr>
            <w:tcW w:type="dxa" w:w="4320"/>
          </w:tcPr>
          <w:p>
            <w:r>
              <w:rPr>
                <w:sz w:val="16"/>
              </w:rPr>
              <w:t>/history</w:t>
            </w:r>
          </w:p>
        </w:tc>
        <w:tc>
          <w:tcPr>
            <w:tcW w:type="dxa" w:w="4320"/>
          </w:tcPr>
          <w:p>
            <w:r>
              <w:rPr>
                <w:sz w:val="16"/>
              </w:rPr>
              <w:t>Lists hardware events with status, detection and resolution details</w:t>
            </w:r>
          </w:p>
        </w:tc>
      </w:tr>
      <w:tr>
        <w:tc>
          <w:tcPr>
            <w:tcW w:type="dxa" w:w="4320"/>
          </w:tcPr>
          <w:p>
            <w:r>
              <w:rPr>
                <w:sz w:val="16"/>
              </w:rPr>
              <w:t>/backups, /audit, /settings</w:t>
            </w:r>
          </w:p>
        </w:tc>
        <w:tc>
          <w:tcPr>
            <w:tcW w:type="dxa" w:w="4320"/>
          </w:tcPr>
          <w:p>
            <w:r>
              <w:rPr>
                <w:sz w:val="16"/>
              </w:rPr>
              <w:t>Placeholder pages; not complete features</w:t>
            </w:r>
          </w:p>
        </w:tc>
      </w:tr>
    </w:tbl>
    <w:p>
      <w:pPr>
        <w:pStyle w:val="Heading2"/>
      </w:pPr>
      <w:r>
        <w:t>5.1 Ethernet identification and registration</w:t>
      </w:r>
    </w:p>
    <w:p>
      <w:r>
        <w:t>identify_controller(ip) obtains IP, controller name, model, family, firmware major/minor and serial via CIP. register_controller(identity) uses a serializable transaction. An already active known serial updates the associated records; a new serial at a new/unassigned IP creates equipment and hardware; a new serial at an IP already assigned to different hardware produces a deduplicated pending PossibleReplacement event and refuses automatic registration.</w:t>
      </w:r>
    </w:p>
    <w:p>
      <w:pPr>
        <w:pStyle w:val="Heading2"/>
      </w:pPr>
      <w:r>
        <w:t>5.2 Technician confirmation</w:t>
      </w:r>
    </w:p>
    <w:p>
      <w:r>
        <w:t>confirm_hardware_replacement(event_id, technician_name, resolution_notes) was updated to validate name/notes, re-read the PLC, verify event and equipment under locks, block conflicting/historical serials, retire old hardware, create new hardware, update current snapshot and mark the event Confirmed with ResolvedBy/ResolutionNotes. VERIFIED: Flask confirmation test passed after the attribution fields were added.</w:t>
      </w:r>
    </w:p>
    <w:p>
      <w:pPr>
        <w:pStyle w:val="Heading2"/>
      </w:pPr>
      <w:r>
        <w:t>5.3 Warning dismissal</w:t>
      </w:r>
    </w:p>
    <w:p>
      <w:r>
        <w:t>The Flask dismiss_replacement action is designed to mark a pending event Dismissed and store ResolvedBy, ResolutionNotes and ResolvedAt, without changing installed hardware. IMPLEMENTED per development discussion; the new attribution-specific dismissal regression test V0_019 has been drafted but NOT reported run.</w:t>
      </w:r>
    </w:p>
    <w:p>
      <w:pPr>
        <w:pStyle w:val="Heading2"/>
      </w:pPr>
      <w:r>
        <w:t>5.4 History and templates</w:t>
      </w:r>
    </w:p>
    <w:p>
      <w:r>
        <w:t>templates/controllers.html contains the inventory and pending hardware warnings, with confirmation/dismissal forms. templates/history.html lists event history and is intended to include a Resolved By column. VERIFY actual template and SQL SELECT both contain ResolvedBy. Serial numbers are deliberately omitted from normal UI.</w:t>
      </w:r>
    </w:p>
    <w:p>
      <w:pPr>
        <w:pStyle w:val="Heading1"/>
      </w:pPr>
      <w:r>
        <w:t>6. Safety and transaction workflow</w:t>
      </w:r>
    </w:p>
    <w:p>
      <w:pPr>
        <w:pStyle w:val="ListBullet"/>
      </w:pPr>
      <w:r>
        <w:t>A scan identifies the device using CIP; a changed serial at an assigned IP creates or reuses a pending warning.</w:t>
      </w:r>
    </w:p>
    <w:p>
      <w:pPr>
        <w:pStyle w:val="ListBullet"/>
      </w:pPr>
      <w:r>
        <w:t>A technician investigates and chooses Confirm Replacement or Dismiss Warning; notes and name are required by intended workflow.</w:t>
      </w:r>
    </w:p>
    <w:p>
      <w:pPr>
        <w:pStyle w:val="ListBullet"/>
      </w:pPr>
      <w:r>
        <w:t>Confirmation must re-identify the device and compare its serial to the pending event.</w:t>
      </w:r>
    </w:p>
    <w:p>
      <w:pPr>
        <w:pStyle w:val="ListBullet"/>
      </w:pPr>
      <w:r>
        <w:t>The database transaction locks event/controller state and checks serial uniqueness and historical use.</w:t>
      </w:r>
    </w:p>
    <w:p>
      <w:pPr>
        <w:pStyle w:val="ListBullet"/>
      </w:pPr>
      <w:r>
        <w:t>On success, close old hardware installation, open new installation, refresh controller snapshot and resolve the event together.</w:t>
      </w:r>
    </w:p>
    <w:p>
      <w:pPr>
        <w:pStyle w:val="ListBullet"/>
      </w:pPr>
      <w:r>
        <w:t>On failure, roll back all changes and leave a meaningful error for the technician.</w:t>
      </w:r>
    </w:p>
    <w:p>
      <w:pPr>
        <w:pStyle w:val="ListBullet"/>
      </w:pPr>
      <w:r>
        <w:t>Dismissal changes only the event, leaving active hardware unchanged.</w:t>
      </w:r>
    </w:p>
    <w:p>
      <w:pPr>
        <w:pStyle w:val="ListBullet"/>
      </w:pPr>
      <w:r>
        <w:t>Never rely on mocked tests as proof that a live processor cannot change state between identity read and database commit.</w:t>
      </w:r>
    </w:p>
    <w:p>
      <w:pPr>
        <w:pStyle w:val="Heading1"/>
      </w:pPr>
      <w:r>
        <w:t>7. Test record and evidence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sz w:val="16"/>
              </w:rPr>
              <w:t>Test / file</w:t>
            </w:r>
          </w:p>
        </w:tc>
        <w:tc>
          <w:tcPr>
            <w:tcW w:type="dxa" w:w="2880"/>
          </w:tcPr>
          <w:p>
            <w:r>
              <w:rPr>
                <w:sz w:val="16"/>
              </w:rPr>
              <w:t>What was checked</w:t>
            </w:r>
          </w:p>
        </w:tc>
        <w:tc>
          <w:tcPr>
            <w:tcW w:type="dxa" w:w="2880"/>
          </w:tcPr>
          <w:p>
            <w:r>
              <w:rPr>
                <w:sz w:val="16"/>
              </w:rPr>
              <w:t>Result</w:t>
            </w:r>
          </w:p>
        </w:tc>
      </w:tr>
      <w:tr>
        <w:tc>
          <w:tcPr>
            <w:tcW w:type="dxa" w:w="2880"/>
          </w:tcPr>
          <w:p>
            <w:r>
              <w:rPr>
                <w:sz w:val="16"/>
              </w:rPr>
              <w:t>V0_015_Replacement_Test.py</w:t>
            </w:r>
          </w:p>
        </w:tc>
        <w:tc>
          <w:tcPr>
            <w:tcW w:type="dxa" w:w="2880"/>
          </w:tcPr>
          <w:p>
            <w:r>
              <w:rPr>
                <w:sz w:val="16"/>
              </w:rPr>
              <w:t>Successful synthetic replacement workflow</w:t>
            </w:r>
          </w:p>
        </w:tc>
        <w:tc>
          <w:tcPr>
            <w:tcW w:type="dxa" w:w="2880"/>
          </w:tcPr>
          <w:p>
            <w:r>
              <w:rPr>
                <w:sz w:val="16"/>
              </w:rPr>
              <w:t>VERIFIED — reported passed</w:t>
            </w:r>
          </w:p>
        </w:tc>
      </w:tr>
      <w:tr>
        <w:tc>
          <w:tcPr>
            <w:tcW w:type="dxa" w:w="2880"/>
          </w:tcPr>
          <w:p>
            <w:r>
              <w:rPr>
                <w:sz w:val="16"/>
              </w:rPr>
              <w:t>V0_017_Web_Confirmation_Test.py</w:t>
            </w:r>
          </w:p>
        </w:tc>
        <w:tc>
          <w:tcPr>
            <w:tcW w:type="dxa" w:w="2880"/>
          </w:tcPr>
          <w:p>
            <w:r>
              <w:rPr>
                <w:sz w:val="16"/>
              </w:rPr>
              <w:t>Flask confirmation and persisted technician attribution/notes</w:t>
            </w:r>
          </w:p>
        </w:tc>
        <w:tc>
          <w:tcPr>
            <w:tcW w:type="dxa" w:w="2880"/>
          </w:tcPr>
          <w:p>
            <w:r>
              <w:rPr>
                <w:sz w:val="16"/>
              </w:rPr>
              <w:t>VERIFIED — reported passed</w:t>
            </w:r>
          </w:p>
        </w:tc>
      </w:tr>
      <w:tr>
        <w:tc>
          <w:tcPr>
            <w:tcW w:type="dxa" w:w="2880"/>
          </w:tcPr>
          <w:p>
            <w:r>
              <w:rPr>
                <w:sz w:val="16"/>
              </w:rPr>
              <w:t>V0_018_Replacement_Safety_Test.py</w:t>
            </w:r>
          </w:p>
        </w:tc>
        <w:tc>
          <w:tcPr>
            <w:tcW w:type="dxa" w:w="2880"/>
          </w:tcPr>
          <w:p>
            <w:r>
              <w:rPr>
                <w:sz w:val="16"/>
              </w:rPr>
              <w:t>Wrong detected serial; historical serial; forced SQL insert failure/rollback</w:t>
            </w:r>
          </w:p>
        </w:tc>
        <w:tc>
          <w:tcPr>
            <w:tcW w:type="dxa" w:w="2880"/>
          </w:tcPr>
          <w:p>
            <w:r>
              <w:rPr>
                <w:sz w:val="16"/>
              </w:rPr>
              <w:t>VERIFIED — reported passed</w:t>
            </w:r>
          </w:p>
        </w:tc>
      </w:tr>
      <w:tr>
        <w:tc>
          <w:tcPr>
            <w:tcW w:type="dxa" w:w="2880"/>
          </w:tcPr>
          <w:p>
            <w:r>
              <w:rPr>
                <w:sz w:val="16"/>
              </w:rPr>
              <w:t>History page check</w:t>
            </w:r>
          </w:p>
        </w:tc>
        <w:tc>
          <w:tcPr>
            <w:tcW w:type="dxa" w:w="2880"/>
          </w:tcPr>
          <w:p>
            <w:r>
              <w:rPr>
                <w:sz w:val="16"/>
              </w:rPr>
              <w:t>Displayed synthetic dismissed hardware event; later cleaned up</w:t>
            </w:r>
          </w:p>
        </w:tc>
        <w:tc>
          <w:tcPr>
            <w:tcW w:type="dxa" w:w="2880"/>
          </w:tcPr>
          <w:p>
            <w:r>
              <w:rPr>
                <w:sz w:val="16"/>
              </w:rPr>
              <w:t>VERIFIED — reported passed</w:t>
            </w:r>
          </w:p>
        </w:tc>
      </w:tr>
      <w:tr>
        <w:tc>
          <w:tcPr>
            <w:tcW w:type="dxa" w:w="2880"/>
          </w:tcPr>
          <w:p>
            <w:r>
              <w:rPr>
                <w:sz w:val="16"/>
              </w:rPr>
              <w:t>V0_019_Dismissal_Test.py</w:t>
            </w:r>
          </w:p>
        </w:tc>
        <w:tc>
          <w:tcPr>
            <w:tcW w:type="dxa" w:w="2880"/>
          </w:tcPr>
          <w:p>
            <w:r>
              <w:rPr>
                <w:sz w:val="16"/>
              </w:rPr>
              <w:t>Flask dismissal, technician attribution, unchanged active hardware, cleanup</w:t>
            </w:r>
          </w:p>
        </w:tc>
        <w:tc>
          <w:tcPr>
            <w:tcW w:type="dxa" w:w="2880"/>
          </w:tcPr>
          <w:p>
            <w:r>
              <w:rPr>
                <w:sz w:val="16"/>
              </w:rPr>
              <w:t>PENDING — test provided but not yet run</w:t>
            </w:r>
          </w:p>
        </w:tc>
      </w:tr>
      <w:tr>
        <w:tc>
          <w:tcPr>
            <w:tcW w:type="dxa" w:w="2880"/>
          </w:tcPr>
          <w:p>
            <w:r>
              <w:rPr>
                <w:sz w:val="16"/>
              </w:rPr>
              <w:t>py_compile monitor and web</w:t>
            </w:r>
          </w:p>
        </w:tc>
        <w:tc>
          <w:tcPr>
            <w:tcW w:type="dxa" w:w="2880"/>
          </w:tcPr>
          <w:p>
            <w:r>
              <w:rPr>
                <w:sz w:val="16"/>
              </w:rPr>
              <w:t>Syntax checks recommended after recent edits</w:t>
            </w:r>
          </w:p>
        </w:tc>
        <w:tc>
          <w:tcPr>
            <w:tcW w:type="dxa" w:w="2880"/>
          </w:tcPr>
          <w:p>
            <w:r>
              <w:rPr>
                <w:sz w:val="16"/>
              </w:rPr>
              <w:t>VERIFY latest run outcome</w:t>
            </w:r>
          </w:p>
        </w:tc>
      </w:tr>
    </w:tbl>
    <w:p>
      <w:r>
        <w:t>Synthetic test data must be isolated and cleaned up. A previously created TRACE_WEB_TEST controller and related records were removed after confirming no backup/rung-change references. Tests must never target real equipment for destructive database operations.</w:t>
      </w:r>
    </w:p>
    <w:p>
      <w:pPr>
        <w:pStyle w:val="Heading1"/>
      </w:pPr>
      <w:r>
        <w:t>8. Known gaps and technical debt</w:t>
      </w:r>
    </w:p>
    <w:p>
      <w:pPr>
        <w:pStyle w:val="ListBullet"/>
      </w:pPr>
      <w:r>
        <w:t>Authentication and role-based authorization: not implemented.</w:t>
      </w:r>
    </w:p>
    <w:p>
      <w:pPr>
        <w:pStyle w:val="ListBullet"/>
      </w:pPr>
      <w:r>
        <w:t>CSRF protection on state-changing Flask forms: not implemented.</w:t>
      </w:r>
    </w:p>
    <w:p>
      <w:pPr>
        <w:pStyle w:val="ListBullet"/>
      </w:pPr>
      <w:r>
        <w:t>Free-text technician names are spoofable; audit identity is not trustworthy until authenticated.</w:t>
      </w:r>
    </w:p>
    <w:p>
      <w:pPr>
        <w:pStyle w:val="ListBullet"/>
      </w:pPr>
      <w:r>
        <w:t>Flask debug=True is development-only; bind to 127.0.0.1 and do not expose on plant or public networks.</w:t>
      </w:r>
    </w:p>
    <w:p>
      <w:pPr>
        <w:pStyle w:val="ListBullet"/>
      </w:pPr>
      <w:r>
        <w:t>Flask secret key changes on restart; persistent secure configuration is needed before deployment.</w:t>
      </w:r>
    </w:p>
    <w:p>
      <w:pPr>
        <w:pStyle w:val="ListBullet"/>
      </w:pPr>
      <w:r>
        <w:t>Manual ResolvedBy SQL change must be added to the idempotent database setup/migration.</w:t>
      </w:r>
    </w:p>
    <w:p>
      <w:pPr>
        <w:pStyle w:val="ListBullet"/>
      </w:pPr>
      <w:r>
        <w:t>Check test helpers for the new three-argument confirm_hardware_replacement signature and required form fields.</w:t>
      </w:r>
    </w:p>
    <w:p>
      <w:pPr>
        <w:pStyle w:val="ListBullet"/>
      </w:pPr>
      <w:r>
        <w:t>Review exception handling and indentation in dismiss_replacement; earlier edit instructions required a careful nested block.</w:t>
      </w:r>
    </w:p>
    <w:p>
      <w:pPr>
        <w:pStyle w:val="ListBullet"/>
      </w:pPr>
      <w:r>
        <w:t>Live program extraction, approved baseline management, rung-level comparison and 80% similarity are not implemented.</w:t>
      </w:r>
    </w:p>
    <w:p>
      <w:pPr>
        <w:pStyle w:val="ListBullet"/>
      </w:pPr>
      <w:r>
        <w:t>Backups and audit/settings screens remain placeholders; do not represent them as operational.</w:t>
      </w:r>
    </w:p>
    <w:p>
      <w:pPr>
        <w:pStyle w:val="ListBullet"/>
      </w:pPr>
      <w:r>
        <w:t>Need production-grade logging, error classification, secrets management, least-privilege SQL access, validation, and controlled deployment procedures.</w:t>
      </w:r>
    </w:p>
    <w:p>
      <w:pPr>
        <w:pStyle w:val="ListBullet"/>
      </w:pPr>
      <w:r>
        <w:t>Need concurrency and network failure testing against representative hardware before operational use.</w:t>
      </w:r>
    </w:p>
    <w:p>
      <w:pPr>
        <w:pStyle w:val="Heading1"/>
      </w:pPr>
      <w:r>
        <w:t>9. Security, confidentiality and source control</w:t>
      </w:r>
    </w:p>
    <w:p>
      <w:pPr>
        <w:pStyle w:val="ListBullet"/>
      </w:pPr>
      <w:r>
        <w:t>Do not commit employer-owned .ACD, .L5X, .L5K, .APA, .MER, .RSS or other PLC programs/exports.</w:t>
      </w:r>
    </w:p>
    <w:p>
      <w:pPr>
        <w:pStyle w:val="ListBullet"/>
      </w:pPr>
      <w:r>
        <w:t>Do not commit SQL .bak/.mdf/.ldf, database extracts, backup directories, uploaded files, .env files, keys, credentials, or local plant inventory.</w:t>
      </w:r>
    </w:p>
    <w:p>
      <w:pPr>
        <w:pStyle w:val="ListBullet"/>
      </w:pPr>
      <w:r>
        <w:t>A .gitignore rule does not untrack previously committed files; inspect git ls-files and commit history separately.</w:t>
      </w:r>
    </w:p>
    <w:p>
      <w:pPr>
        <w:pStyle w:val="ListBullet"/>
      </w:pPr>
      <w:r>
        <w:t>Before each push: git status --short, git diff --cached --name-only, git diff --cached; stage reviewed source paths explicitly.</w:t>
      </w:r>
    </w:p>
    <w:p>
      <w:pPr>
        <w:pStyle w:val="ListBullet"/>
      </w:pPr>
      <w:r>
        <w:t>If sensitive material was ever committed, deleting it from the working tree is not enough; assess repository history and access, and rotate any exposed secrets.</w:t>
      </w:r>
    </w:p>
    <w:p>
      <w:pPr>
        <w:pStyle w:val="ListBullet"/>
      </w:pPr>
      <w:r>
        <w:t>Keep tests synthetic; use localhost SQL and mock PLC calls when exercising workflows.</w:t>
      </w:r>
    </w:p>
    <w:p>
      <w:pPr>
        <w:pStyle w:val="ListBullet"/>
      </w:pPr>
      <w:r>
        <w:t>Treat equipment IPs, serials and site-specific data as operationally sensitive even if not credential material.</w:t>
      </w:r>
    </w:p>
    <w:p>
      <w:pPr>
        <w:pStyle w:val="Heading1"/>
      </w:pPr>
      <w:r>
        <w:t>10. Recommended repository layout</w:t>
      </w:r>
    </w:p>
    <w:p>
      <w:r>
        <w:t>Keep root module names and paths unchanged until imports are deliberately refactored. Test scripts currently may load root modules using paths relative to their own file, so moving them into tests/ can break execution.</w:t>
      </w:r>
    </w:p>
    <w:p>
      <w:pPr>
        <w:pStyle w:val="NoSpacing"/>
      </w:pPr>
      <w:r>
        <w:rPr>
          <w:rFonts w:ascii="Consolas" w:hAnsi="Consolas"/>
          <w:sz w:val="16"/>
        </w:rPr>
        <w:t>TRACE_Latest/</w:t>
      </w:r>
    </w:p>
    <w:p>
      <w:pPr>
        <w:pStyle w:val="NoSpacing"/>
      </w:pPr>
      <w:r>
        <w:rPr>
          <w:rFonts w:ascii="Consolas" w:hAnsi="Consolas"/>
          <w:sz w:val="16"/>
        </w:rPr>
        <w:t xml:space="preserve">  V0.011_Web.py  |  V0.012_Controller_ID.py</w:t>
      </w:r>
    </w:p>
    <w:p>
      <w:pPr>
        <w:pStyle w:val="NoSpacing"/>
      </w:pPr>
      <w:r>
        <w:rPr>
          <w:rFonts w:ascii="Consolas" w:hAnsi="Consolas"/>
          <w:sz w:val="16"/>
        </w:rPr>
        <w:t xml:space="preserve">  V0_013_Database_Setup.py  |  V0.014_Ethernet_Monitor.py</w:t>
      </w:r>
    </w:p>
    <w:p>
      <w:pPr>
        <w:pStyle w:val="NoSpacing"/>
      </w:pPr>
      <w:r>
        <w:rPr>
          <w:rFonts w:ascii="Consolas" w:hAnsi="Consolas"/>
          <w:sz w:val="16"/>
        </w:rPr>
        <w:t xml:space="preserve">  templates/  |  static/</w:t>
      </w:r>
    </w:p>
    <w:p>
      <w:pPr>
        <w:pStyle w:val="NoSpacing"/>
      </w:pPr>
      <w:r>
        <w:rPr>
          <w:rFonts w:ascii="Consolas" w:hAnsi="Consolas"/>
          <w:sz w:val="16"/>
        </w:rPr>
        <w:t xml:space="preserve">  tests/  (move only after path fixes)</w:t>
      </w:r>
    </w:p>
    <w:p>
      <w:pPr>
        <w:pStyle w:val="NoSpacing"/>
      </w:pPr>
      <w:r>
        <w:rPr>
          <w:rFonts w:ascii="Consolas" w:hAnsi="Consolas"/>
          <w:sz w:val="16"/>
        </w:rPr>
        <w:t xml:space="preserve">  docs/  (this document)</w:t>
      </w:r>
    </w:p>
    <w:p>
      <w:pPr>
        <w:pStyle w:val="NoSpacing"/>
      </w:pPr>
      <w:r>
        <w:rPr>
          <w:rFonts w:ascii="Consolas" w:hAnsi="Consolas"/>
          <w:sz w:val="16"/>
        </w:rPr>
        <w:t xml:space="preserve">  local_data/  (ignored)</w:t>
      </w:r>
    </w:p>
    <w:p>
      <w:pPr>
        <w:pStyle w:val="NoSpacing"/>
      </w:pPr>
      <w:r>
        <w:rPr>
          <w:rFonts w:ascii="Consolas" w:hAnsi="Consolas"/>
          <w:sz w:val="16"/>
        </w:rPr>
        <w:t xml:space="preserve">  README.md  |  .gitignore</w:t>
      </w:r>
    </w:p>
    <w:p>
      <w:pPr>
        <w:pStyle w:val="Heading1"/>
      </w:pPr>
      <w:r>
        <w:t>11. Development log / milestones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sz w:val="16"/>
              </w:rPr>
              <w:t>Milestone</w:t>
            </w:r>
          </w:p>
        </w:tc>
        <w:tc>
          <w:tcPr>
            <w:tcW w:type="dxa" w:w="4320"/>
          </w:tcPr>
          <w:p>
            <w:r>
              <w:rPr>
                <w:sz w:val="16"/>
              </w:rPr>
              <w:t>Outcome</w:t>
            </w:r>
          </w:p>
        </w:tc>
      </w:tr>
      <w:tr>
        <w:tc>
          <w:tcPr>
            <w:tcW w:type="dxa" w:w="4320"/>
          </w:tcPr>
          <w:p>
            <w:r>
              <w:rPr>
                <w:sz w:val="16"/>
              </w:rPr>
              <w:t>Foundational application</w:t>
            </w:r>
          </w:p>
        </w:tc>
        <w:tc>
          <w:tcPr>
            <w:tcW w:type="dxa" w:w="4320"/>
          </w:tcPr>
          <w:p>
            <w:r>
              <w:rPr>
                <w:sz w:val="16"/>
              </w:rPr>
              <w:t>Flask pages, SQL Server schema, identification and inventory workflows created.</w:t>
            </w:r>
          </w:p>
        </w:tc>
      </w:tr>
      <w:tr>
        <w:tc>
          <w:tcPr>
            <w:tcW w:type="dxa" w:w="4320"/>
          </w:tcPr>
          <w:p>
            <w:r>
              <w:rPr>
                <w:sz w:val="16"/>
              </w:rPr>
              <w:t>Hardware identity model</w:t>
            </w:r>
          </w:p>
        </w:tc>
        <w:tc>
          <w:tcPr>
            <w:tcW w:type="dxa" w:w="4320"/>
          </w:tcPr>
          <w:p>
            <w:r>
              <w:rPr>
                <w:sz w:val="16"/>
              </w:rPr>
              <w:t>Permanent ControllerID plus physical hardware installation history introduced.</w:t>
            </w:r>
          </w:p>
        </w:tc>
      </w:tr>
      <w:tr>
        <w:tc>
          <w:tcPr>
            <w:tcW w:type="dxa" w:w="4320"/>
          </w:tcPr>
          <w:p>
            <w:r>
              <w:rPr>
                <w:sz w:val="16"/>
              </w:rPr>
              <w:t>Replacement detection</w:t>
            </w:r>
          </w:p>
        </w:tc>
        <w:tc>
          <w:tcPr>
            <w:tcW w:type="dxa" w:w="4320"/>
          </w:tcPr>
          <w:p>
            <w:r>
              <w:rPr>
                <w:sz w:val="16"/>
              </w:rPr>
              <w:t>Unknown serial at assigned IP creates a pending PossibleReplacement warning.</w:t>
            </w:r>
          </w:p>
        </w:tc>
      </w:tr>
      <w:tr>
        <w:tc>
          <w:tcPr>
            <w:tcW w:type="dxa" w:w="4320"/>
          </w:tcPr>
          <w:p>
            <w:r>
              <w:rPr>
                <w:sz w:val="16"/>
              </w:rPr>
              <w:t>Replacement confirmation</w:t>
            </w:r>
          </w:p>
        </w:tc>
        <w:tc>
          <w:tcPr>
            <w:tcW w:type="dxa" w:w="4320"/>
          </w:tcPr>
          <w:p>
            <w:r>
              <w:rPr>
                <w:sz w:val="16"/>
              </w:rPr>
              <w:t>Live recheck, serial conflict checks, atomic hardware swap and event resolution implemented.</w:t>
            </w:r>
          </w:p>
        </w:tc>
      </w:tr>
      <w:tr>
        <w:tc>
          <w:tcPr>
            <w:tcW w:type="dxa" w:w="4320"/>
          </w:tcPr>
          <w:p>
            <w:r>
              <w:rPr>
                <w:sz w:val="16"/>
              </w:rPr>
              <w:t>Safety regression</w:t>
            </w:r>
          </w:p>
        </w:tc>
        <w:tc>
          <w:tcPr>
            <w:tcW w:type="dxa" w:w="4320"/>
          </w:tcPr>
          <w:p>
            <w:r>
              <w:rPr>
                <w:sz w:val="16"/>
              </w:rPr>
              <w:t>Mismatch, historical serial and rollback scenarios reported passing.</w:t>
            </w:r>
          </w:p>
        </w:tc>
      </w:tr>
      <w:tr>
        <w:tc>
          <w:tcPr>
            <w:tcW w:type="dxa" w:w="4320"/>
          </w:tcPr>
          <w:p>
            <w:r>
              <w:rPr>
                <w:sz w:val="16"/>
              </w:rPr>
              <w:t>Web event history</w:t>
            </w:r>
          </w:p>
        </w:tc>
        <w:tc>
          <w:tcPr>
            <w:tcW w:type="dxa" w:w="4320"/>
          </w:tcPr>
          <w:p>
            <w:r>
              <w:rPr>
                <w:sz w:val="16"/>
              </w:rPr>
              <w:t>Pending/confirmed/dismissed event history and technician actions surfaced.</w:t>
            </w:r>
          </w:p>
        </w:tc>
      </w:tr>
      <w:tr>
        <w:tc>
          <w:tcPr>
            <w:tcW w:type="dxa" w:w="4320"/>
          </w:tcPr>
          <w:p>
            <w:r>
              <w:rPr>
                <w:sz w:val="16"/>
              </w:rPr>
              <w:t>Technician attribution</w:t>
            </w:r>
          </w:p>
        </w:tc>
        <w:tc>
          <w:tcPr>
            <w:tcW w:type="dxa" w:w="4320"/>
          </w:tcPr>
          <w:p>
            <w:r>
              <w:rPr>
                <w:sz w:val="16"/>
              </w:rPr>
              <w:t>ResolvedBy SQL column added; confirmation form/backend/test reported passing.</w:t>
            </w:r>
          </w:p>
        </w:tc>
      </w:tr>
      <w:tr>
        <w:tc>
          <w:tcPr>
            <w:tcW w:type="dxa" w:w="4320"/>
          </w:tcPr>
          <w:p>
            <w:r>
              <w:rPr>
                <w:sz w:val="16"/>
              </w:rPr>
              <w:t>Current stopping point</w:t>
            </w:r>
          </w:p>
        </w:tc>
        <w:tc>
          <w:tcPr>
            <w:tcW w:type="dxa" w:w="4320"/>
          </w:tcPr>
          <w:p>
            <w:r>
              <w:rPr>
                <w:sz w:val="16"/>
              </w:rPr>
              <w:t>V0_019 dismissal attribution test prepared, not yet executed; project organization/commit requested.</w:t>
            </w:r>
          </w:p>
        </w:tc>
      </w:tr>
    </w:tbl>
    <w:p>
      <w:pPr>
        <w:pStyle w:val="Heading1"/>
      </w:pPr>
      <w:r>
        <w:t>12. Next actions, in priority order</w:t>
      </w:r>
    </w:p>
    <w:p>
      <w:r>
        <w:t>1. Run V0_019_Dismissal_Test.py and verify five expected checks and cleanup.</w:t>
      </w:r>
    </w:p>
    <w:p>
      <w:r>
        <w:t>2. Reconcile actual web, monitor, templates and SQL setup script with this document.</w:t>
      </w:r>
    </w:p>
    <w:p>
      <w:r>
        <w:t>3. Add idempotent ResolvedBy migration to V0_013_Database_Setup.py and test a clean database setup.</w:t>
      </w:r>
    </w:p>
    <w:p>
      <w:r>
        <w:t>4. Review Git tracked files and ignore rules; exclude proprietary PLC projects and local operational data.</w:t>
      </w:r>
    </w:p>
    <w:p>
      <w:r>
        <w:t>5. Organize docs and tests without breaking import paths; add a README and dependency lock/requirements file.</w:t>
      </w:r>
    </w:p>
    <w:p>
      <w:r>
        <w:t>6. Run syntax and regression tests, inspect staged diff, commit and push only reviewed source/documentation.</w:t>
      </w:r>
    </w:p>
    <w:p>
      <w:r>
        <w:t>7. Implement authentication, authorization and CSRF before expanding access or operational use.</w:t>
      </w:r>
    </w:p>
    <w:p>
      <w:r>
        <w:t>8. Design approved-backup and program-identity schema before attempting live logic comparison.</w:t>
      </w:r>
    </w:p>
    <w:p>
      <w:pPr>
        <w:pStyle w:val="Heading1"/>
      </w:pPr>
      <w:r>
        <w:t>13. Open questions and decision register</w:t>
      </w:r>
    </w:p>
    <w:p>
      <w:pPr>
        <w:pStyle w:val="ListBullet"/>
      </w:pPr>
      <w:r>
        <w:t>What is the exact authoritative definition of an equipment location if its IP changes or a controller is relocated?</w:t>
      </w:r>
    </w:p>
    <w:p>
      <w:pPr>
        <w:pStyle w:val="ListBullet"/>
      </w:pPr>
      <w:r>
        <w:t>What is the technician workflow for reusing a serial found in historical ControllerHardware?</w:t>
      </w:r>
    </w:p>
    <w:p>
      <w:pPr>
        <w:pStyle w:val="ListBullet"/>
      </w:pPr>
      <w:r>
        <w:t>Which roles can confirm a processor replacement, dismiss a warning, rename equipment or approve a baseline?</w:t>
      </w:r>
    </w:p>
    <w:p>
      <w:pPr>
        <w:pStyle w:val="ListBullet"/>
      </w:pPr>
      <w:r>
        <w:t>What is the retention period and access policy for backups, audit events and raw serials?</w:t>
      </w:r>
    </w:p>
    <w:p>
      <w:pPr>
        <w:pStyle w:val="ListBullet"/>
      </w:pPr>
      <w:r>
        <w:t>How will TRACE verify the expected program identity and extract comparable live logic across controller families?</w:t>
      </w:r>
    </w:p>
    <w:p>
      <w:pPr>
        <w:pStyle w:val="ListBullet"/>
      </w:pPr>
      <w:r>
        <w:t>How will program normalization handle comments, tag names, AOIs, safety logic and firmware differences?</w:t>
      </w:r>
    </w:p>
    <w:p>
      <w:pPr>
        <w:pStyle w:val="ListBullet"/>
      </w:pPr>
      <w:r>
        <w:t>What qualifies as an approved backup, who approves it and how is approval revoked?</w:t>
      </w:r>
    </w:p>
    <w:p>
      <w:pPr>
        <w:pStyle w:val="ListBullet"/>
      </w:pPr>
      <w:r>
        <w:t>How should the system handle unreachable devices, partial CIP identity, duplicate IPs and scanner concurrency?</w:t>
      </w:r>
    </w:p>
    <w:p>
      <w:pPr>
        <w:pStyle w:val="ListBullet"/>
      </w:pPr>
      <w:r>
        <w:t>What evidence and testing are required before deployment in a production plant?</w:t>
      </w:r>
    </w:p>
    <w:p>
      <w:pPr>
        <w:pStyle w:val="Heading1"/>
      </w:pPr>
      <w:r>
        <w:t>14. Maintenance rules for this document</w:t>
      </w:r>
    </w:p>
    <w:p>
      <w:r>
        <w:t>When changing behavior: add a dated entry to the development log; update the corresponding DD section, schema description, security impact and test status. Mark proposals PLANNED until code exists and mark VERIFIED only after a recorded passing test. This document is reconstructed from development discussions and reported outcomes; it is not a substitute for reviewing current repository contents.</w:t>
      </w:r>
    </w:p>
    <w:sectPr w:rsidR="00FC693F" w:rsidRPr="0006063C" w:rsidSect="00034616">
      <w:headerReference w:type="default" r:id="rId9"/>
      <w:footerReference w:type="default" r:id="rId10"/>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Internal development reference  •  11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TRACE  |  ENGINEERING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F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F5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3F5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53F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