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00747D"/>
          <w:sz w:val="17"/>
        </w:rPr>
        <w:t>MURMUR  /  RESEARCH NOTE</w:t>
      </w:r>
    </w:p>
    <w:p>
      <w:pPr>
        <w:pStyle w:val="Title"/>
        <w:spacing w:after="40"/>
      </w:pPr>
      <w:r>
        <w:t>Murmur Diffusion Experiment Brief</w:t>
      </w:r>
    </w:p>
    <w:p>
      <w:pPr>
        <w:spacing w:after="80"/>
      </w:pPr>
      <w:r>
        <w:rPr>
          <w:color w:val="55606A"/>
          <w:sz w:val="22"/>
        </w:rPr>
        <w:t>What is implemented, what the first two-node run showed, and what to test next</w:t>
      </w:r>
    </w:p>
    <w:p>
      <w:pPr>
        <w:spacing w:after="240"/>
      </w:pPr>
      <w:r>
        <w:rPr>
          <w:color w:val="69737C"/>
          <w:sz w:val="17"/>
        </w:rPr>
        <w:t>Working note  |  16 October 2026</w:t>
      </w:r>
    </w:p>
    <w:p>
      <w:r>
        <w:t>We have a local diffusion-generation prototype that can load two separate 4-bit Dream model copies and let both propose tokens for the same masked sequence. The run confirms that the setup fits on the RTX 4090 Laptop GPU, but the copies currently have identical weights: the peer made no committed changes, and the two-node run took almost twice as long. The next useful test is to create real model diversity, then measure whether it improves outputs.</w:t>
      </w:r>
    </w:p>
    <w:p>
      <w:pPr>
        <w:pStyle w:val="Heading1"/>
      </w:pPr>
      <w:r>
        <w:t>What is implemented</w:t>
      </w:r>
    </w:p>
    <w:p>
      <w:r>
        <w:t>The project remains a local NVIDIA experiment. It is not yet a networked cluster, training platform, or multi-PC system. The command-line experiment and Gradio browser page both run on one machine and one GPU.</w:t>
      </w:r>
    </w:p>
    <w:p>
      <w:pPr>
        <w:pStyle w:val="ListNumber"/>
        <w:spacing w:after="80"/>
      </w:pPr>
      <w:r>
        <w:t>Two separate copies of Dream-org/Dream-v0-Instruct-7B load in 4-bit NF4. They share a tokenizer but have separate model instances.</w:t>
      </w:r>
    </w:p>
    <w:p>
      <w:pPr>
        <w:pStyle w:val="ListNumber"/>
        <w:spacing w:after="80"/>
      </w:pPr>
      <w:r>
        <w:t>At a denoising step, both enabled nodes see the same partially masked sequence. The forwards are launched on separate CUDA streams, and each node samples with its own deterministic seed.</w:t>
      </w:r>
    </w:p>
    <w:p>
      <w:pPr>
        <w:pStyle w:val="ListNumber"/>
        <w:spacing w:after="80"/>
      </w:pPr>
      <w:r>
        <w:t>The coordinator compares candidate-token probabilities at masked positions, then Dream's entropy schedule decides which positions become fixed. The primary node is the fallback if the peer is absent or fails.</w:t>
      </w:r>
    </w:p>
    <w:p>
      <w:pPr>
        <w:pStyle w:val="ListNumber"/>
        <w:spacing w:after="80"/>
      </w:pPr>
      <w:r>
        <w:t>The experiment reports runtime, peer commits, token differences, active nodes, and PyTorch peak memory. A separate single-node run can reopen a small number of low-confidence generated tokens; peer-driven revision is not implemented yet.</w:t>
      </w:r>
    </w:p>
    <w:p>
      <w:pPr>
        <w:pStyle w:val="Heading1"/>
      </w:pPr>
      <w:r>
        <w:t>What the latest run showed</w:t>
      </w:r>
    </w:p>
    <w:p>
      <w:r>
        <w:t>The supplied output used 16 new tokens and 16 diffusion steps on an RTX 4090 Laptop GPU. The peer dropout setting was 0, so both two-node scenarios had the peer available on every step. These timings are from a warmed run; the first cold run was much slower.</w:t>
      </w:r>
    </w:p>
    <w:tbl>
      <w:tblPr>
        <w:tblW w:type="auto" w:w="0"/>
        <w:tblLayout w:type="fixed"/>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2016"/>
        <w:gridCol w:w="2016"/>
        <w:gridCol w:w="2016"/>
        <w:gridCol w:w="2016"/>
        <w:gridCol w:w="2016"/>
      </w:tblGrid>
      <w:tr>
        <w:trPr>
          <w:tblHeader w:val="true"/>
        </w:trPr>
        <w:tc>
          <w:tcPr>
            <w:tcW w:type="dxa" w:w="2520"/>
            <w:vAlign w:val="center"/>
            <w:shd w:fill="17334A"/>
            <w:tcMar>
              <w:top w:w="100" w:type="dxa"/>
              <w:start w:w="115" w:type="dxa"/>
              <w:bottom w:w="100" w:type="dxa"/>
              <w:end w:w="115" w:type="dxa"/>
            </w:tcMar>
          </w:tcPr>
          <w:p>
            <w:pPr>
              <w:spacing w:after="0"/>
            </w:pPr>
            <w:r>
              <w:rPr>
                <w:rFonts w:ascii="Aptos" w:hAnsi="Aptos"/>
                <w:b/>
                <w:color w:val="FFFFFF"/>
                <w:sz w:val="17"/>
              </w:rPr>
              <w:t>Scenario</w:t>
            </w:r>
          </w:p>
        </w:tc>
        <w:tc>
          <w:tcPr>
            <w:tcW w:type="dxa" w:w="1224"/>
            <w:vAlign w:val="center"/>
            <w:shd w:fill="17334A"/>
            <w:tcMar>
              <w:top w:w="100" w:type="dxa"/>
              <w:start w:w="115" w:type="dxa"/>
              <w:bottom w:w="100" w:type="dxa"/>
              <w:end w:w="115" w:type="dxa"/>
            </w:tcMar>
          </w:tcPr>
          <w:p>
            <w:pPr>
              <w:spacing w:after="0"/>
            </w:pPr>
            <w:r>
              <w:rPr>
                <w:rFonts w:ascii="Aptos" w:hAnsi="Aptos"/>
                <w:b/>
                <w:color w:val="FFFFFF"/>
                <w:sz w:val="17"/>
              </w:rPr>
              <w:t>Time</w:t>
            </w:r>
          </w:p>
        </w:tc>
        <w:tc>
          <w:tcPr>
            <w:tcW w:type="dxa" w:w="1440"/>
            <w:vAlign w:val="center"/>
            <w:shd w:fill="17334A"/>
            <w:tcMar>
              <w:top w:w="100" w:type="dxa"/>
              <w:start w:w="115" w:type="dxa"/>
              <w:bottom w:w="100" w:type="dxa"/>
              <w:end w:w="115" w:type="dxa"/>
            </w:tcMar>
          </w:tcPr>
          <w:p>
            <w:pPr>
              <w:spacing w:after="0"/>
            </w:pPr>
            <w:r>
              <w:rPr>
                <w:rFonts w:ascii="Aptos" w:hAnsi="Aptos"/>
                <w:b/>
                <w:color w:val="FFFFFF"/>
                <w:sz w:val="17"/>
              </w:rPr>
              <w:t>Peer commits</w:t>
            </w:r>
          </w:p>
        </w:tc>
        <w:tc>
          <w:tcPr>
            <w:tcW w:type="dxa" w:w="1584"/>
            <w:vAlign w:val="center"/>
            <w:shd w:fill="17334A"/>
            <w:tcMar>
              <w:top w:w="100" w:type="dxa"/>
              <w:start w:w="115" w:type="dxa"/>
              <w:bottom w:w="100" w:type="dxa"/>
              <w:end w:w="115" w:type="dxa"/>
            </w:tcMar>
          </w:tcPr>
          <w:p>
            <w:pPr>
              <w:spacing w:after="0"/>
            </w:pPr>
            <w:r>
              <w:rPr>
                <w:rFonts w:ascii="Aptos" w:hAnsi="Aptos"/>
                <w:b/>
                <w:color w:val="FFFFFF"/>
                <w:sz w:val="17"/>
              </w:rPr>
              <w:t>Token diff</w:t>
            </w:r>
          </w:p>
        </w:tc>
        <w:tc>
          <w:tcPr>
            <w:tcW w:type="dxa" w:w="1728"/>
            <w:vAlign w:val="center"/>
            <w:shd w:fill="17334A"/>
            <w:tcMar>
              <w:top w:w="100" w:type="dxa"/>
              <w:start w:w="115" w:type="dxa"/>
              <w:bottom w:w="100" w:type="dxa"/>
              <w:end w:w="115" w:type="dxa"/>
            </w:tcMar>
          </w:tcPr>
          <w:p>
            <w:pPr>
              <w:spacing w:after="0"/>
            </w:pPr>
            <w:r>
              <w:rPr>
                <w:rFonts w:ascii="Aptos" w:hAnsi="Aptos"/>
                <w:b/>
                <w:color w:val="FFFFFF"/>
                <w:sz w:val="17"/>
              </w:rPr>
              <w:t>Peak reserved</w:t>
            </w:r>
          </w:p>
        </w:tc>
      </w:tr>
      <w:tr>
        <w:tc>
          <w:tcPr>
            <w:tcW w:type="dxa" w:w="2520"/>
            <w:vAlign w:val="center"/>
            <w:tcMar>
              <w:top w:w="100" w:type="dxa"/>
              <w:start w:w="115" w:type="dxa"/>
              <w:bottom w:w="100" w:type="dxa"/>
              <w:end w:w="115" w:type="dxa"/>
            </w:tcMar>
          </w:tcPr>
          <w:p>
            <w:pPr>
              <w:spacing w:after="0"/>
            </w:pPr>
            <w:r>
              <w:rPr>
                <w:sz w:val="17"/>
              </w:rPr>
              <w:t>One-node baseline</w:t>
            </w:r>
          </w:p>
        </w:tc>
        <w:tc>
          <w:tcPr>
            <w:tcW w:type="dxa" w:w="1224"/>
            <w:vAlign w:val="center"/>
            <w:tcMar>
              <w:top w:w="100" w:type="dxa"/>
              <w:start w:w="115" w:type="dxa"/>
              <w:bottom w:w="100" w:type="dxa"/>
              <w:end w:w="115" w:type="dxa"/>
            </w:tcMar>
          </w:tcPr>
          <w:p>
            <w:pPr>
              <w:spacing w:after="0"/>
              <w:jc w:val="center"/>
            </w:pPr>
            <w:r>
              <w:rPr>
                <w:sz w:val="17"/>
              </w:rPr>
              <w:t>6.71 s</w:t>
            </w:r>
          </w:p>
        </w:tc>
        <w:tc>
          <w:tcPr>
            <w:tcW w:type="dxa" w:w="1440"/>
            <w:vAlign w:val="center"/>
            <w:tcMar>
              <w:top w:w="100" w:type="dxa"/>
              <w:start w:w="115" w:type="dxa"/>
              <w:bottom w:w="100" w:type="dxa"/>
              <w:end w:w="115" w:type="dxa"/>
            </w:tcMar>
          </w:tcPr>
          <w:p>
            <w:pPr>
              <w:spacing w:after="0"/>
              <w:jc w:val="center"/>
            </w:pPr>
            <w:r>
              <w:rPr>
                <w:sz w:val="17"/>
              </w:rPr>
              <w:t>0</w:t>
            </w:r>
          </w:p>
        </w:tc>
        <w:tc>
          <w:tcPr>
            <w:tcW w:type="dxa" w:w="1584"/>
            <w:vAlign w:val="center"/>
            <w:tcMar>
              <w:top w:w="100" w:type="dxa"/>
              <w:start w:w="115" w:type="dxa"/>
              <w:bottom w:w="100" w:type="dxa"/>
              <w:end w:w="115" w:type="dxa"/>
            </w:tcMar>
          </w:tcPr>
          <w:p>
            <w:pPr>
              <w:spacing w:after="0"/>
              <w:jc w:val="center"/>
            </w:pPr>
            <w:r>
              <w:rPr>
                <w:sz w:val="17"/>
              </w:rPr>
              <w:t>0</w:t>
            </w:r>
          </w:p>
        </w:tc>
        <w:tc>
          <w:tcPr>
            <w:tcW w:type="dxa" w:w="1728"/>
            <w:vAlign w:val="center"/>
            <w:tcMar>
              <w:top w:w="100" w:type="dxa"/>
              <w:start w:w="115" w:type="dxa"/>
              <w:bottom w:w="100" w:type="dxa"/>
              <w:end w:w="115" w:type="dxa"/>
            </w:tcMar>
          </w:tcPr>
          <w:p>
            <w:pPr>
              <w:spacing w:after="0"/>
              <w:jc w:val="center"/>
            </w:pPr>
            <w:r>
              <w:rPr>
                <w:sz w:val="17"/>
              </w:rPr>
              <w:t>10.80 GiB</w:t>
            </w:r>
          </w:p>
        </w:tc>
      </w:tr>
      <w:tr>
        <w:tc>
          <w:tcPr>
            <w:tcW w:type="dxa" w:w="2520"/>
            <w:vAlign w:val="center"/>
            <w:tcMar>
              <w:top w:w="100" w:type="dxa"/>
              <w:start w:w="115" w:type="dxa"/>
              <w:bottom w:w="100" w:type="dxa"/>
              <w:end w:w="115" w:type="dxa"/>
            </w:tcMar>
            <w:shd w:fill="F0F5F7"/>
          </w:tcPr>
          <w:p>
            <w:pPr>
              <w:spacing w:after="0"/>
            </w:pPr>
            <w:r>
              <w:rPr>
                <w:sz w:val="17"/>
              </w:rPr>
              <w:t>Two nodes, always available</w:t>
            </w:r>
          </w:p>
        </w:tc>
        <w:tc>
          <w:tcPr>
            <w:tcW w:type="dxa" w:w="1224"/>
            <w:vAlign w:val="center"/>
            <w:tcMar>
              <w:top w:w="100" w:type="dxa"/>
              <w:start w:w="115" w:type="dxa"/>
              <w:bottom w:w="100" w:type="dxa"/>
              <w:end w:w="115" w:type="dxa"/>
            </w:tcMar>
            <w:shd w:fill="F0F5F7"/>
          </w:tcPr>
          <w:p>
            <w:pPr>
              <w:spacing w:after="0"/>
              <w:jc w:val="center"/>
            </w:pPr>
            <w:r>
              <w:rPr>
                <w:sz w:val="17"/>
              </w:rPr>
              <w:t>12.54 s</w:t>
            </w:r>
          </w:p>
        </w:tc>
        <w:tc>
          <w:tcPr>
            <w:tcW w:type="dxa" w:w="1440"/>
            <w:vAlign w:val="center"/>
            <w:tcMar>
              <w:top w:w="100" w:type="dxa"/>
              <w:start w:w="115" w:type="dxa"/>
              <w:bottom w:w="100" w:type="dxa"/>
              <w:end w:w="115" w:type="dxa"/>
            </w:tcMar>
            <w:shd w:fill="F0F5F7"/>
          </w:tcPr>
          <w:p>
            <w:pPr>
              <w:spacing w:after="0"/>
              <w:jc w:val="center"/>
            </w:pPr>
            <w:r>
              <w:rPr>
                <w:sz w:val="17"/>
              </w:rPr>
              <w:t>0</w:t>
            </w:r>
          </w:p>
        </w:tc>
        <w:tc>
          <w:tcPr>
            <w:tcW w:type="dxa" w:w="1584"/>
            <w:vAlign w:val="center"/>
            <w:tcMar>
              <w:top w:w="100" w:type="dxa"/>
              <w:start w:w="115" w:type="dxa"/>
              <w:bottom w:w="100" w:type="dxa"/>
              <w:end w:w="115" w:type="dxa"/>
            </w:tcMar>
            <w:shd w:fill="F0F5F7"/>
          </w:tcPr>
          <w:p>
            <w:pPr>
              <w:spacing w:after="0"/>
              <w:jc w:val="center"/>
            </w:pPr>
            <w:r>
              <w:rPr>
                <w:sz w:val="17"/>
              </w:rPr>
              <w:t>0</w:t>
            </w:r>
          </w:p>
        </w:tc>
        <w:tc>
          <w:tcPr>
            <w:tcW w:type="dxa" w:w="1728"/>
            <w:vAlign w:val="center"/>
            <w:tcMar>
              <w:top w:w="100" w:type="dxa"/>
              <w:start w:w="115" w:type="dxa"/>
              <w:bottom w:w="100" w:type="dxa"/>
              <w:end w:w="115" w:type="dxa"/>
            </w:tcMar>
            <w:shd w:fill="F0F5F7"/>
          </w:tcPr>
          <w:p>
            <w:pPr>
              <w:spacing w:after="0"/>
              <w:jc w:val="center"/>
            </w:pPr>
            <w:r>
              <w:rPr>
                <w:sz w:val="17"/>
              </w:rPr>
              <w:t>11.00 GiB</w:t>
            </w:r>
          </w:p>
        </w:tc>
      </w:tr>
      <w:tr>
        <w:tc>
          <w:tcPr>
            <w:tcW w:type="dxa" w:w="2520"/>
            <w:vAlign w:val="center"/>
            <w:tcMar>
              <w:top w:w="100" w:type="dxa"/>
              <w:start w:w="115" w:type="dxa"/>
              <w:bottom w:w="100" w:type="dxa"/>
              <w:end w:w="115" w:type="dxa"/>
            </w:tcMar>
          </w:tcPr>
          <w:p>
            <w:pPr>
              <w:spacing w:after="0"/>
            </w:pPr>
            <w:r>
              <w:rPr>
                <w:sz w:val="17"/>
              </w:rPr>
              <w:t>Two nodes, dropout 0.00</w:t>
            </w:r>
          </w:p>
        </w:tc>
        <w:tc>
          <w:tcPr>
            <w:tcW w:type="dxa" w:w="1224"/>
            <w:vAlign w:val="center"/>
            <w:tcMar>
              <w:top w:w="100" w:type="dxa"/>
              <w:start w:w="115" w:type="dxa"/>
              <w:bottom w:w="100" w:type="dxa"/>
              <w:end w:w="115" w:type="dxa"/>
            </w:tcMar>
          </w:tcPr>
          <w:p>
            <w:pPr>
              <w:spacing w:after="0"/>
              <w:jc w:val="center"/>
            </w:pPr>
            <w:r>
              <w:rPr>
                <w:sz w:val="17"/>
              </w:rPr>
              <w:t>13.39 s</w:t>
            </w:r>
          </w:p>
        </w:tc>
        <w:tc>
          <w:tcPr>
            <w:tcW w:type="dxa" w:w="1440"/>
            <w:vAlign w:val="center"/>
            <w:tcMar>
              <w:top w:w="100" w:type="dxa"/>
              <w:start w:w="115" w:type="dxa"/>
              <w:bottom w:w="100" w:type="dxa"/>
              <w:end w:w="115" w:type="dxa"/>
            </w:tcMar>
          </w:tcPr>
          <w:p>
            <w:pPr>
              <w:spacing w:after="0"/>
              <w:jc w:val="center"/>
            </w:pPr>
            <w:r>
              <w:rPr>
                <w:sz w:val="17"/>
              </w:rPr>
              <w:t>0</w:t>
            </w:r>
          </w:p>
        </w:tc>
        <w:tc>
          <w:tcPr>
            <w:tcW w:type="dxa" w:w="1584"/>
            <w:vAlign w:val="center"/>
            <w:tcMar>
              <w:top w:w="100" w:type="dxa"/>
              <w:start w:w="115" w:type="dxa"/>
              <w:bottom w:w="100" w:type="dxa"/>
              <w:end w:w="115" w:type="dxa"/>
            </w:tcMar>
          </w:tcPr>
          <w:p>
            <w:pPr>
              <w:spacing w:after="0"/>
              <w:jc w:val="center"/>
            </w:pPr>
            <w:r>
              <w:rPr>
                <w:sz w:val="17"/>
              </w:rPr>
              <w:t>0</w:t>
            </w:r>
          </w:p>
        </w:tc>
        <w:tc>
          <w:tcPr>
            <w:tcW w:type="dxa" w:w="1728"/>
            <w:vAlign w:val="center"/>
            <w:tcMar>
              <w:top w:w="100" w:type="dxa"/>
              <w:start w:w="115" w:type="dxa"/>
              <w:bottom w:w="100" w:type="dxa"/>
              <w:end w:w="115" w:type="dxa"/>
            </w:tcMar>
          </w:tcPr>
          <w:p>
            <w:pPr>
              <w:spacing w:after="0"/>
              <w:jc w:val="center"/>
            </w:pPr>
            <w:r>
              <w:rPr>
                <w:sz w:val="17"/>
              </w:rPr>
              <w:t>11.04 GiB</w:t>
            </w:r>
          </w:p>
        </w:tc>
      </w:tr>
    </w:tbl>
    <w:p>
      <w:r>
        <w:t>At the default low temperature, the identical copies produced the same final text and the peer won no committed positions. That means the current run demonstrates loading, coordination, and dropout handling, but it does not demonstrate useful contribution or better text. Different seeds alone do not create different knowledge.</w:t>
      </w:r>
    </w:p>
    <w:p>
      <w:r>
        <w:t>The two-node timing was about 1.87 times the one-node timing (12.54 ÷ 6.71). The forwards are launched concurrently, but both copies still compete for the same GPU compute and memory bandwidth, and the coordinator adds work. PyTorch's reported peak excludes other GPU users; during our run, nvidia-smi showed roughly 15.9 GiB in use out of 16 GiB overall, leaving little headroom.</w:t>
      </w:r>
    </w:p>
    <w:p>
      <w:pPr>
        <w:pStyle w:val="Heading1"/>
      </w:pPr>
      <w:r>
        <w:t>Ways to create genuinely different contributors</w:t>
      </w:r>
    </w:p>
    <w:p>
      <w:pPr>
        <w:pStyle w:val="Heading2"/>
      </w:pPr>
      <w:r>
        <w:t>Quick diversity check</w:t>
      </w:r>
    </w:p>
    <w:p>
      <w:r>
        <w:t>Run two copies with different sampling settings or use two compatible checkpoints that share the same tokenizer. This is the fastest way to see different proposals, but sampling noise or checkpoint differences do not show that specialization has been learned. Different models may also report confidence on different scales.</w:t>
      </w:r>
    </w:p>
    <w:p>
      <w:pPr>
        <w:pStyle w:val="Heading2"/>
      </w:pPr>
      <w:r>
        <w:t>Independent adapters</w:t>
      </w:r>
    </w:p>
    <w:p>
      <w:r>
        <w:t>A stronger experiment is to start from the same Dream base and train two small LoRA adapters separately. Each can see a different shuffle or shard of the same general denoising data, with the same objective and no hand-assigned roles. The resulting nodes retain a common tokenizer and interface while developing different weights. Training and evaluation would need to be added, so this is a later step rather than a current capability.</w:t>
      </w:r>
    </w:p>
    <w:p>
      <w:pPr>
        <w:pStyle w:val="Heading2"/>
      </w:pPr>
      <w:r>
        <w:t>Coordinator scoring</w:t>
      </w:r>
    </w:p>
    <w:p>
      <w:r>
        <w:t>Once the models differ, comparing their raw probabilities may favor whichever model is more confident, not whichever candidate is better. A simple next contract is for each node to return a short list of candidate tokens and normalized scores. The coordinator can compare candidates using agreement or an average score, with the primary node as fallback. This scoring choice should be tested, not assumed to improve quality.</w:t>
      </w:r>
    </w:p>
    <w:p>
      <w:pPr>
        <w:pStyle w:val="Heading2"/>
      </w:pPr>
      <w:r>
        <w:t>Allowing nodes to correct committed tokens</w:t>
      </w:r>
    </w:p>
    <w:p>
      <w:r>
        <w:t>Today, swarm nodes propose only for masked positions. To let one node fix another's earlier mistake, the coordinator would need to reopen selected low-confidence generated positions, while never remasking the prompt and keeping a strict revision budget. The current remasking experiment is single-node; shared peer revision remains a proposal.</w:t>
      </w:r>
    </w:p>
    <w:p>
      <w:pPr>
        <w:pStyle w:val="Heading1"/>
      </w:pPr>
      <w:r>
        <w:t>Suggested next experiment</w:t>
      </w:r>
    </w:p>
    <w:p>
      <w:r>
        <w:t>Keep the current duplicate-model run as the control. Next, make a small pair of independently adapted contributors, then compare the primary alone, the two-node combination, and the combination with peer dropout. Keep the prompt, token budget, steps, and random seeds fixed across conditions. Track peer commits and token changes, but judge answer quality separately with held-out prompts and a simple blind human review; a peer winning a token is not itself evidence that the token is better.</w:t>
      </w:r>
    </w:p>
    <w:p>
      <w:pPr>
        <w:pStyle w:val="Heading1"/>
      </w:pPr>
      <w:r>
        <w:t>Questions to decide together</w:t>
      </w:r>
    </w:p>
    <w:p>
      <w:pPr>
        <w:pStyle w:val="ListBullet"/>
        <w:spacing w:after="80"/>
      </w:pPr>
      <w:r>
        <w:t>What should count as a useful correction: fewer factual errors, clearer answers, fewer premature end tokens, or another concrete measure?</w:t>
      </w:r>
    </w:p>
    <w:p>
      <w:pPr>
        <w:pStyle w:val="ListBullet"/>
        <w:spacing w:after="80"/>
      </w:pPr>
      <w:r>
        <w:t>Should independent adapters first learn from different data shards, or should they adapt from feedback about which proposals helped the shared answer?</w:t>
      </w:r>
    </w:p>
    <w:p>
      <w:pPr>
        <w:pStyle w:val="ListBullet"/>
        <w:spacing w:after="80"/>
      </w:pPr>
      <w:r>
        <w:t>Should the coordinator prefer agreement between nodes, or combine their candidate scores even when they disagree?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62D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Murmur Diffusion Experiment Brief</dc:title>
  <dc:subject>Current prototype, observed two-node results, and proposed research experiments</dc:subject>
  <dc:creator>Murmur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