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2D830">
      <w:pPr>
        <w:spacing w:before="800"/>
        <w:jc w:val="center"/>
      </w:pPr>
      <w:bookmarkStart w:id="0" w:name="_GoBack"/>
      <w:bookmarkEnd w:id="0"/>
      <w:r>
        <w:rPr>
          <w:rFonts w:ascii="Inter" w:hAnsi="Inter" w:eastAsia="Noto Sans CJK SC"/>
          <w:b/>
          <w:color w:val="362E82"/>
          <w:sz w:val="56"/>
        </w:rPr>
        <w:t>序境 / LUMENIS</w:t>
      </w:r>
    </w:p>
    <w:p w14:paraId="45143D16">
      <w:pPr>
        <w:jc w:val="center"/>
      </w:pPr>
      <w:r>
        <w:rPr>
          <w:rFonts w:ascii="Inter" w:hAnsi="Inter" w:eastAsia="Noto Sans CJK SC"/>
          <w:b/>
          <w:color w:val="161C2E"/>
          <w:sz w:val="44"/>
        </w:rPr>
        <w:t>品牌 Logo 与启动动画执行总规约</w:t>
      </w:r>
    </w:p>
    <w:p w14:paraId="07B9663A">
      <w:pPr>
        <w:jc w:val="center"/>
      </w:pPr>
      <w:r>
        <w:rPr>
          <w:rFonts w:ascii="Inter" w:hAnsi="Inter" w:eastAsia="Noto Sans CJK SC"/>
          <w:b/>
          <w:color w:val="5B4FE9"/>
          <w:sz w:val="28"/>
        </w:rPr>
        <w:t>Brand Logo + Launch Animation Master Brief</w:t>
      </w:r>
    </w:p>
    <w:p w14:paraId="5FF7CB98">
      <w:pPr>
        <w:spacing w:after="200" w:line="288" w:lineRule="auto"/>
      </w:pPr>
    </w:p>
    <w:p w14:paraId="5FE38F9A">
      <w:pPr>
        <w:spacing w:after="80" w:line="288" w:lineRule="auto"/>
        <w:jc w:val="center"/>
      </w:pPr>
      <w:r>
        <w:rPr>
          <w:rFonts w:ascii="Inter" w:hAnsi="Inter" w:eastAsia="Noto Sans CJK SC"/>
          <w:b w:val="0"/>
          <w:color w:val="5C6678"/>
          <w:sz w:val="21"/>
        </w:rPr>
        <w:t>版本：V1.0 FINAL</w:t>
      </w:r>
    </w:p>
    <w:p w14:paraId="75224753">
      <w:pPr>
        <w:spacing w:after="80" w:line="288" w:lineRule="auto"/>
        <w:jc w:val="center"/>
      </w:pPr>
      <w:r>
        <w:rPr>
          <w:rFonts w:ascii="Inter" w:hAnsi="Inter" w:eastAsia="Noto Sans CJK SC"/>
          <w:b w:val="0"/>
          <w:color w:val="5C6678"/>
          <w:sz w:val="21"/>
        </w:rPr>
        <w:t>日期：2026-09-11</w:t>
      </w:r>
    </w:p>
    <w:p w14:paraId="1D46C8C5">
      <w:r>
        <w:br w:type="page"/>
      </w:r>
    </w:p>
    <w:p w14:paraId="0F4DE2DB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1. 本文档用途</w:t>
      </w:r>
    </w:p>
    <w:p w14:paraId="33038822">
      <w:pPr>
        <w:spacing w:after="80" w:line="288" w:lineRule="auto"/>
      </w:pPr>
      <w:r>
        <w:rPr>
          <w:rFonts w:ascii="Inter" w:hAnsi="Inter" w:eastAsia="Noto Sans CJK SC"/>
          <w:b w:val="0"/>
          <w:sz w:val="21"/>
        </w:rPr>
        <w:t>本文件用于直接指导豆包完成序境 / LUMENIS 的品牌 Logo、三套字标版本、三套启动动画版本、色彩规则、字体策略、动态规则、交付清单与给 Codex / 前端的接入规范。</w:t>
      </w:r>
    </w:p>
    <w:p w14:paraId="1E38811C">
      <w:pPr>
        <w:pStyle w:val="16"/>
        <w:spacing w:after="40"/>
      </w:pPr>
      <w:r>
        <w:rPr>
          <w:rFonts w:ascii="Inter" w:hAnsi="Inter" w:eastAsia="Noto Sans CJK SC"/>
          <w:b w:val="0"/>
          <w:sz w:val="20"/>
        </w:rPr>
        <w:t>这是最终执行文档，不再反复轮询方向。</w:t>
      </w:r>
    </w:p>
    <w:p w14:paraId="324D102E">
      <w:pPr>
        <w:pStyle w:val="16"/>
        <w:spacing w:after="40"/>
      </w:pPr>
      <w:r>
        <w:rPr>
          <w:rFonts w:ascii="Inter" w:hAnsi="Inter" w:eastAsia="Noto Sans CJK SC"/>
          <w:b w:val="0"/>
          <w:sz w:val="20"/>
        </w:rPr>
        <w:t>本文件只聚焦：品牌 Logo 与启动动画，不再重复原有产品 UI/UX 总方案。</w:t>
      </w:r>
    </w:p>
    <w:p w14:paraId="37C0C8D5">
      <w:pPr>
        <w:pStyle w:val="16"/>
        <w:spacing w:after="40"/>
      </w:pPr>
      <w:r>
        <w:rPr>
          <w:rFonts w:ascii="Inter" w:hAnsi="Inter" w:eastAsia="Noto Sans CJK SC"/>
          <w:b w:val="0"/>
          <w:sz w:val="20"/>
        </w:rPr>
        <w:t>设计原则：高质感、可工程化、可延展到未来生态系统。</w:t>
      </w:r>
    </w:p>
    <w:p w14:paraId="6C1141D1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2. 品牌哲学总定义</w:t>
      </w:r>
    </w:p>
    <w:p w14:paraId="4C7012B2">
      <w:pPr>
        <w:spacing w:after="80" w:line="288" w:lineRule="auto"/>
      </w:pPr>
      <w:r>
        <w:rPr>
          <w:rFonts w:ascii="Inter" w:hAnsi="Inter" w:eastAsia="Noto Sans CJK SC"/>
          <w:b w:val="0"/>
          <w:sz w:val="21"/>
        </w:rPr>
        <w:t>品牌哲学核心：芥子纳须弥。</w:t>
      </w:r>
    </w:p>
    <w:p w14:paraId="52E2143C">
      <w:pPr>
        <w:spacing w:after="80" w:line="288" w:lineRule="auto"/>
      </w:pPr>
      <w:r>
        <w:rPr>
          <w:rFonts w:ascii="Inter" w:hAnsi="Inter" w:eastAsia="Noto Sans CJK SC"/>
          <w:b w:val="0"/>
          <w:sz w:val="21"/>
        </w:rPr>
        <w:t>设计翻译：在极小之中容纳广阔，在一个点中展开系统，在万象之后重新归于核心。</w:t>
      </w:r>
    </w:p>
    <w:p w14:paraId="6E1B38C1">
      <w:pPr>
        <w:spacing w:after="80" w:line="288" w:lineRule="auto"/>
      </w:pPr>
      <w:r>
        <w:rPr>
          <w:rFonts w:ascii="Inter" w:hAnsi="Inter" w:eastAsia="Noto Sans CJK SC"/>
          <w:b/>
          <w:sz w:val="21"/>
        </w:rPr>
        <w:t>因此 Logo 与启动动画都必须围绕以下主逻辑展开：</w:t>
      </w:r>
    </w:p>
    <w:p w14:paraId="31C836B2">
      <w:pPr>
        <w:spacing w:after="80" w:line="288" w:lineRule="auto"/>
      </w:pPr>
      <w:r>
        <w:rPr>
          <w:rFonts w:ascii="Inter" w:hAnsi="Inter" w:eastAsia="Noto Sans CJK SC"/>
          <w:b w:val="0"/>
          <w:color w:val="362E82"/>
          <w:sz w:val="21"/>
        </w:rPr>
        <w:t>一点 → 一滴 → 一片海 → 一个世界 / 生态 → 再收束为一滴 → 定格为品牌 Logo</w:t>
      </w:r>
    </w:p>
    <w:p w14:paraId="026D9894">
      <w:pPr>
        <w:pStyle w:val="16"/>
        <w:spacing w:after="40"/>
      </w:pPr>
      <w:r>
        <w:rPr>
          <w:rFonts w:ascii="Inter" w:hAnsi="Inter" w:eastAsia="Noto Sans CJK SC"/>
          <w:b w:val="0"/>
          <w:sz w:val="20"/>
        </w:rPr>
        <w:t>关键词：微观、包容、展开、收束、系统、光学、液态、未来、宁静。</w:t>
      </w:r>
    </w:p>
    <w:p w14:paraId="0EB5DBDB">
      <w:pPr>
        <w:pStyle w:val="16"/>
        <w:spacing w:after="40"/>
      </w:pPr>
      <w:r>
        <w:rPr>
          <w:rFonts w:ascii="Inter" w:hAnsi="Inter" w:eastAsia="Noto Sans CJK SC"/>
          <w:b w:val="0"/>
          <w:sz w:val="20"/>
        </w:rPr>
        <w:t>气质要求：高级、克制、通透、非普通海洋品牌、非环保公益品牌、非廉价赛博。</w:t>
      </w:r>
    </w:p>
    <w:p w14:paraId="1F3B2D77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3. Logo 家族最终定版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3134"/>
        <w:gridCol w:w="2598"/>
        <w:gridCol w:w="3037"/>
      </w:tblGrid>
      <w:tr w14:paraId="11EBC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FFF"/>
          </w:tcPr>
          <w:p w14:paraId="6669F58D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版本</w:t>
            </w:r>
          </w:p>
        </w:tc>
        <w:tc>
          <w:tcPr>
            <w:tcW w:w="3402" w:type="dxa"/>
            <w:shd w:val="clear" w:color="auto" w:fill="EDEFFF"/>
          </w:tcPr>
          <w:p w14:paraId="5C7BDEC0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构成</w:t>
            </w:r>
          </w:p>
        </w:tc>
        <w:tc>
          <w:tcPr>
            <w:tcW w:w="2835" w:type="dxa"/>
            <w:shd w:val="clear" w:color="auto" w:fill="EDEFFF"/>
          </w:tcPr>
          <w:p w14:paraId="6C35C01F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用途</w:t>
            </w:r>
          </w:p>
        </w:tc>
        <w:tc>
          <w:tcPr>
            <w:tcW w:w="3402" w:type="dxa"/>
            <w:shd w:val="clear" w:color="auto" w:fill="EDEFFF"/>
          </w:tcPr>
          <w:p w14:paraId="60580100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必须要求</w:t>
            </w:r>
          </w:p>
        </w:tc>
      </w:tr>
      <w:tr w14:paraId="1B1C4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F1EC83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A 标准版</w:t>
            </w:r>
          </w:p>
        </w:tc>
        <w:tc>
          <w:tcPr>
            <w:tcW w:w="3402" w:type="dxa"/>
          </w:tcPr>
          <w:p w14:paraId="1160FE6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Logo 图形 + 中文“序境” + 英文“LUMENIS”</w:t>
            </w:r>
          </w:p>
        </w:tc>
        <w:tc>
          <w:tcPr>
            <w:tcW w:w="2835" w:type="dxa"/>
          </w:tcPr>
          <w:p w14:paraId="787D2BF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品牌标准主识别、启动页主版、官网/产品关于页</w:t>
            </w:r>
          </w:p>
        </w:tc>
        <w:tc>
          <w:tcPr>
            <w:tcW w:w="3402" w:type="dxa"/>
          </w:tcPr>
          <w:p w14:paraId="62D49EC4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中文与英文需同场出现；图形为主、文字为辅；整体最高级</w:t>
            </w:r>
          </w:p>
        </w:tc>
      </w:tr>
      <w:tr w14:paraId="16C88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C111A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B 韩文版</w:t>
            </w:r>
          </w:p>
        </w:tc>
        <w:tc>
          <w:tcPr>
            <w:tcW w:w="3402" w:type="dxa"/>
          </w:tcPr>
          <w:p w14:paraId="2463169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Logo 图形 + 韩文品牌字标</w:t>
            </w:r>
          </w:p>
        </w:tc>
        <w:tc>
          <w:tcPr>
            <w:tcW w:w="2835" w:type="dxa"/>
          </w:tcPr>
          <w:p w14:paraId="7D124E3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韩语环境、韩国市场、韩文启动页</w:t>
            </w:r>
          </w:p>
        </w:tc>
        <w:tc>
          <w:tcPr>
            <w:tcW w:w="3402" w:type="dxa"/>
          </w:tcPr>
          <w:p w14:paraId="3C02E8C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必须单独成套，不用中英混排替代；韩文字标气质需与中英版统一</w:t>
            </w:r>
          </w:p>
        </w:tc>
      </w:tr>
      <w:tr w14:paraId="6595A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F6EAF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C 纯图形版</w:t>
            </w:r>
          </w:p>
        </w:tc>
        <w:tc>
          <w:tcPr>
            <w:tcW w:w="3402" w:type="dxa"/>
          </w:tcPr>
          <w:p w14:paraId="56C82D2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仅 Logo 图形，无任何文字</w:t>
            </w:r>
          </w:p>
        </w:tc>
        <w:tc>
          <w:tcPr>
            <w:tcW w:w="2835" w:type="dxa"/>
          </w:tcPr>
          <w:p w14:paraId="0CEC856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App Icon、Favicon、产品角标、短启动版、动画收尾定格</w:t>
            </w:r>
          </w:p>
        </w:tc>
        <w:tc>
          <w:tcPr>
            <w:tcW w:w="3402" w:type="dxa"/>
          </w:tcPr>
          <w:p w14:paraId="2454995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必须能脱离文字独立成立；小尺寸仍有辨识度</w:t>
            </w:r>
          </w:p>
        </w:tc>
      </w:tr>
    </w:tbl>
    <w:p w14:paraId="503507B9">
      <w:pPr>
        <w:spacing w:after="40" w:line="288" w:lineRule="auto"/>
      </w:pPr>
    </w:p>
    <w:p w14:paraId="6E4C3C9C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4. 字体与字标策略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2706"/>
        <w:gridCol w:w="3001"/>
        <w:gridCol w:w="2970"/>
      </w:tblGrid>
      <w:tr w14:paraId="78777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FFF"/>
          </w:tcPr>
          <w:p w14:paraId="32319B69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项目</w:t>
            </w:r>
          </w:p>
        </w:tc>
        <w:tc>
          <w:tcPr>
            <w:tcW w:w="2835" w:type="dxa"/>
            <w:shd w:val="clear" w:color="auto" w:fill="EDEFFF"/>
          </w:tcPr>
          <w:p w14:paraId="3D6FB2E5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最终要求</w:t>
            </w:r>
          </w:p>
        </w:tc>
        <w:tc>
          <w:tcPr>
            <w:tcW w:w="3118" w:type="dxa"/>
            <w:shd w:val="clear" w:color="auto" w:fill="EDEFFF"/>
          </w:tcPr>
          <w:p w14:paraId="205CA49D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设计方向</w:t>
            </w:r>
          </w:p>
        </w:tc>
        <w:tc>
          <w:tcPr>
            <w:tcW w:w="3118" w:type="dxa"/>
            <w:shd w:val="clear" w:color="auto" w:fill="EDEFFF"/>
          </w:tcPr>
          <w:p w14:paraId="122BA069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执行备注</w:t>
            </w:r>
          </w:p>
        </w:tc>
      </w:tr>
      <w:tr w14:paraId="3B8AD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32010D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中文字标</w:t>
            </w:r>
          </w:p>
        </w:tc>
        <w:tc>
          <w:tcPr>
            <w:tcW w:w="2835" w:type="dxa"/>
          </w:tcPr>
          <w:p w14:paraId="1484F91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手写感</w:t>
            </w:r>
          </w:p>
        </w:tc>
        <w:tc>
          <w:tcPr>
            <w:tcW w:w="3118" w:type="dxa"/>
          </w:tcPr>
          <w:p w14:paraId="181517F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不是草书狂放，而是高级、克制、流动、具品牌识别的手写字</w:t>
            </w:r>
          </w:p>
        </w:tc>
        <w:tc>
          <w:tcPr>
            <w:tcW w:w="3118" w:type="dxa"/>
          </w:tcPr>
          <w:p w14:paraId="5385FA12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建议原创定制字标，不直接套通用书法字库</w:t>
            </w:r>
          </w:p>
        </w:tc>
      </w:tr>
      <w:tr w14:paraId="0E5E0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F123B6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英文字标</w:t>
            </w:r>
          </w:p>
        </w:tc>
        <w:tc>
          <w:tcPr>
            <w:tcW w:w="2835" w:type="dxa"/>
          </w:tcPr>
          <w:p w14:paraId="72B0FC5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拉丁文手写英文</w:t>
            </w:r>
          </w:p>
        </w:tc>
        <w:tc>
          <w:tcPr>
            <w:tcW w:w="3118" w:type="dxa"/>
          </w:tcPr>
          <w:p w14:paraId="3FB811F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要有 Latin handwritten / script 的优雅感，但不能过甜、过婚礼、过装饰</w:t>
            </w:r>
          </w:p>
        </w:tc>
        <w:tc>
          <w:tcPr>
            <w:tcW w:w="3118" w:type="dxa"/>
          </w:tcPr>
          <w:p w14:paraId="0D9D02B4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必须与中文笔势匹配，体现同一家族关系</w:t>
            </w:r>
          </w:p>
        </w:tc>
      </w:tr>
      <w:tr w14:paraId="2C388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C6B5D5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韩文字标</w:t>
            </w:r>
          </w:p>
        </w:tc>
        <w:tc>
          <w:tcPr>
            <w:tcW w:w="2835" w:type="dxa"/>
          </w:tcPr>
          <w:p w14:paraId="60AD122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单独做一套韩文版</w:t>
            </w:r>
          </w:p>
        </w:tc>
        <w:tc>
          <w:tcPr>
            <w:tcW w:w="3118" w:type="dxa"/>
          </w:tcPr>
          <w:p w14:paraId="695CA70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延续手写气质，但优先保证清晰、现代、克制</w:t>
            </w:r>
          </w:p>
        </w:tc>
        <w:tc>
          <w:tcPr>
            <w:tcW w:w="3118" w:type="dxa"/>
          </w:tcPr>
          <w:p w14:paraId="761F049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不要生硬模仿中文笔触，要让韩文自身成立</w:t>
            </w:r>
          </w:p>
        </w:tc>
      </w:tr>
      <w:tr w14:paraId="1C2D1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E05EAA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字体系统边界</w:t>
            </w:r>
          </w:p>
        </w:tc>
        <w:tc>
          <w:tcPr>
            <w:tcW w:w="2835" w:type="dxa"/>
          </w:tcPr>
          <w:p w14:paraId="05C2E48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Logo 字标可手写；产品 UI 不能整体手写</w:t>
            </w:r>
          </w:p>
        </w:tc>
        <w:tc>
          <w:tcPr>
            <w:tcW w:w="3118" w:type="dxa"/>
          </w:tcPr>
          <w:p w14:paraId="062C8A5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Logo 是品牌识别，UI 正文仍需现代可读字体</w:t>
            </w:r>
          </w:p>
        </w:tc>
        <w:tc>
          <w:tcPr>
            <w:tcW w:w="3118" w:type="dxa"/>
          </w:tcPr>
          <w:p w14:paraId="746C4C5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防止产品大面积手写导致难用</w:t>
            </w:r>
          </w:p>
        </w:tc>
      </w:tr>
    </w:tbl>
    <w:p w14:paraId="2AEA00D7">
      <w:pPr>
        <w:spacing w:after="40" w:line="288" w:lineRule="auto"/>
      </w:pPr>
    </w:p>
    <w:p w14:paraId="259F603D">
      <w:pPr>
        <w:spacing w:before="160" w:after="80"/>
      </w:pPr>
      <w:r>
        <w:rPr>
          <w:rFonts w:ascii="Inter" w:hAnsi="Inter" w:eastAsia="Noto Sans CJK SC"/>
          <w:b/>
          <w:color w:val="1C233E"/>
          <w:sz w:val="28"/>
        </w:rPr>
        <w:t>4.1 字标细化规则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0"/>
        <w:gridCol w:w="2884"/>
        <w:gridCol w:w="2954"/>
        <w:gridCol w:w="2884"/>
      </w:tblGrid>
      <w:tr w14:paraId="12E0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FFF"/>
          </w:tcPr>
          <w:p w14:paraId="3C661E8F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维度</w:t>
            </w:r>
          </w:p>
        </w:tc>
        <w:tc>
          <w:tcPr>
            <w:tcW w:w="3118" w:type="dxa"/>
            <w:shd w:val="clear" w:color="auto" w:fill="EDEFFF"/>
          </w:tcPr>
          <w:p w14:paraId="5338F936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中文“序境”</w:t>
            </w:r>
          </w:p>
        </w:tc>
        <w:tc>
          <w:tcPr>
            <w:tcW w:w="3118" w:type="dxa"/>
            <w:shd w:val="clear" w:color="auto" w:fill="EDEFFF"/>
          </w:tcPr>
          <w:p w14:paraId="54FBEA24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英文“LUMENIS”</w:t>
            </w:r>
          </w:p>
        </w:tc>
        <w:tc>
          <w:tcPr>
            <w:tcW w:w="3118" w:type="dxa"/>
            <w:shd w:val="clear" w:color="auto" w:fill="EDEFFF"/>
          </w:tcPr>
          <w:p w14:paraId="05A56515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韩文版</w:t>
            </w:r>
          </w:p>
        </w:tc>
      </w:tr>
      <w:tr w14:paraId="05B43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9BC732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风格</w:t>
            </w:r>
          </w:p>
        </w:tc>
        <w:tc>
          <w:tcPr>
            <w:tcW w:w="3118" w:type="dxa"/>
          </w:tcPr>
          <w:p w14:paraId="16AD0BD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手写、柔韧、有呼吸感</w:t>
            </w:r>
          </w:p>
        </w:tc>
        <w:tc>
          <w:tcPr>
            <w:tcW w:w="3118" w:type="dxa"/>
          </w:tcPr>
          <w:p w14:paraId="6E7A25C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Latin handwritten / refined script</w:t>
            </w:r>
          </w:p>
        </w:tc>
        <w:tc>
          <w:tcPr>
            <w:tcW w:w="3118" w:type="dxa"/>
          </w:tcPr>
          <w:p w14:paraId="5C30262D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韩文手写感、现代、优雅</w:t>
            </w:r>
          </w:p>
        </w:tc>
      </w:tr>
      <w:tr w14:paraId="72D63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B0F43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节奏</w:t>
            </w:r>
          </w:p>
        </w:tc>
        <w:tc>
          <w:tcPr>
            <w:tcW w:w="3118" w:type="dxa"/>
          </w:tcPr>
          <w:p w14:paraId="4435138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疏密有致</w:t>
            </w:r>
          </w:p>
        </w:tc>
        <w:tc>
          <w:tcPr>
            <w:tcW w:w="3118" w:type="dxa"/>
          </w:tcPr>
          <w:p w14:paraId="70D0FC39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字母之间自然连贯</w:t>
            </w:r>
          </w:p>
        </w:tc>
        <w:tc>
          <w:tcPr>
            <w:tcW w:w="3118" w:type="dxa"/>
          </w:tcPr>
          <w:p w14:paraId="1E6C37E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笔画节奏清楚，不拥挤</w:t>
            </w:r>
          </w:p>
        </w:tc>
      </w:tr>
      <w:tr w14:paraId="202B6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C2B13A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质感</w:t>
            </w:r>
          </w:p>
        </w:tc>
        <w:tc>
          <w:tcPr>
            <w:tcW w:w="3118" w:type="dxa"/>
          </w:tcPr>
          <w:p w14:paraId="759C8EE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有液态与书写感</w:t>
            </w:r>
          </w:p>
        </w:tc>
        <w:tc>
          <w:tcPr>
            <w:tcW w:w="3118" w:type="dxa"/>
          </w:tcPr>
          <w:p w14:paraId="527B6CDD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像在流体中留下的痕迹</w:t>
            </w:r>
          </w:p>
        </w:tc>
        <w:tc>
          <w:tcPr>
            <w:tcW w:w="3118" w:type="dxa"/>
          </w:tcPr>
          <w:p w14:paraId="1A3C636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继承品牌通透感</w:t>
            </w:r>
          </w:p>
        </w:tc>
      </w:tr>
      <w:tr w14:paraId="0267C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DAE43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可读性</w:t>
            </w:r>
          </w:p>
        </w:tc>
        <w:tc>
          <w:tcPr>
            <w:tcW w:w="3118" w:type="dxa"/>
          </w:tcPr>
          <w:p w14:paraId="3BD27A7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优先识别“序境”</w:t>
            </w:r>
          </w:p>
        </w:tc>
        <w:tc>
          <w:tcPr>
            <w:tcW w:w="3118" w:type="dxa"/>
          </w:tcPr>
          <w:p w14:paraId="4C8D441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必须清楚读出 LUMENIS</w:t>
            </w:r>
          </w:p>
        </w:tc>
        <w:tc>
          <w:tcPr>
            <w:tcW w:w="3118" w:type="dxa"/>
          </w:tcPr>
          <w:p w14:paraId="04FA91B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韩语用户能快速识别</w:t>
            </w:r>
          </w:p>
        </w:tc>
      </w:tr>
      <w:tr w14:paraId="6634D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E3C39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禁区</w:t>
            </w:r>
          </w:p>
        </w:tc>
        <w:tc>
          <w:tcPr>
            <w:tcW w:w="3118" w:type="dxa"/>
          </w:tcPr>
          <w:p w14:paraId="76A8731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过书法、过古风</w:t>
            </w:r>
          </w:p>
        </w:tc>
        <w:tc>
          <w:tcPr>
            <w:tcW w:w="3118" w:type="dxa"/>
          </w:tcPr>
          <w:p w14:paraId="656258E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过甜腻、过婚礼体、过复古</w:t>
            </w:r>
          </w:p>
        </w:tc>
        <w:tc>
          <w:tcPr>
            <w:tcW w:w="3118" w:type="dxa"/>
          </w:tcPr>
          <w:p w14:paraId="67BC33A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过于花哨、识别困难</w:t>
            </w:r>
          </w:p>
        </w:tc>
      </w:tr>
    </w:tbl>
    <w:p w14:paraId="602390B9">
      <w:pPr>
        <w:spacing w:after="40" w:line="288" w:lineRule="auto"/>
      </w:pPr>
    </w:p>
    <w:p w14:paraId="7161686B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5. Logo 图形设计规范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2717"/>
        <w:gridCol w:w="3283"/>
        <w:gridCol w:w="2604"/>
      </w:tblGrid>
      <w:tr w14:paraId="4BBC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FFF"/>
          </w:tcPr>
          <w:p w14:paraId="3714E3C0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部位</w:t>
            </w:r>
          </w:p>
        </w:tc>
        <w:tc>
          <w:tcPr>
            <w:tcW w:w="2721" w:type="dxa"/>
            <w:shd w:val="clear" w:color="auto" w:fill="EDEFFF"/>
          </w:tcPr>
          <w:p w14:paraId="7EA3C876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设计定义</w:t>
            </w:r>
          </w:p>
        </w:tc>
        <w:tc>
          <w:tcPr>
            <w:tcW w:w="3288" w:type="dxa"/>
            <w:shd w:val="clear" w:color="auto" w:fill="EDEFFF"/>
          </w:tcPr>
          <w:p w14:paraId="009C4C4E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执行方式</w:t>
            </w:r>
          </w:p>
        </w:tc>
        <w:tc>
          <w:tcPr>
            <w:tcW w:w="2608" w:type="dxa"/>
            <w:shd w:val="clear" w:color="auto" w:fill="EDEFFF"/>
          </w:tcPr>
          <w:p w14:paraId="796CAF91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禁止事项</w:t>
            </w:r>
          </w:p>
        </w:tc>
      </w:tr>
      <w:tr w14:paraId="1F4A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3C1683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外轮廓</w:t>
            </w:r>
          </w:p>
        </w:tc>
        <w:tc>
          <w:tcPr>
            <w:tcW w:w="2721" w:type="dxa"/>
          </w:tcPr>
          <w:p w14:paraId="76D4B69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抽象液态水滴 / 种子 / 容器世界合体</w:t>
            </w:r>
          </w:p>
        </w:tc>
        <w:tc>
          <w:tcPr>
            <w:tcW w:w="3288" w:type="dxa"/>
          </w:tcPr>
          <w:p w14:paraId="5423712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用圆润液态外形表现“可容纳的核心”</w:t>
            </w:r>
          </w:p>
        </w:tc>
        <w:tc>
          <w:tcPr>
            <w:tcW w:w="2608" w:type="dxa"/>
          </w:tcPr>
          <w:p w14:paraId="73F56AF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不要普通泪滴形图标</w:t>
            </w:r>
          </w:p>
        </w:tc>
      </w:tr>
      <w:tr w14:paraId="38F18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B1B720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内部海面</w:t>
            </w:r>
          </w:p>
        </w:tc>
        <w:tc>
          <w:tcPr>
            <w:tcW w:w="2721" w:type="dxa"/>
          </w:tcPr>
          <w:p w14:paraId="61E7FDD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被容纳的海平面 / 液态地平线</w:t>
            </w:r>
          </w:p>
        </w:tc>
        <w:tc>
          <w:tcPr>
            <w:tcW w:w="3288" w:type="dxa"/>
          </w:tcPr>
          <w:p w14:paraId="05DE8BB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位于图形中下部，用一条或两条柔和弧线暗示海与世界</w:t>
            </w:r>
          </w:p>
        </w:tc>
        <w:tc>
          <w:tcPr>
            <w:tcW w:w="2608" w:type="dxa"/>
          </w:tcPr>
          <w:p w14:paraId="5FBE586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不要写实波浪线</w:t>
            </w:r>
          </w:p>
        </w:tc>
      </w:tr>
      <w:tr w14:paraId="13ECA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406177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中心光核</w:t>
            </w:r>
          </w:p>
        </w:tc>
        <w:tc>
          <w:tcPr>
            <w:tcW w:w="2721" w:type="dxa"/>
          </w:tcPr>
          <w:p w14:paraId="16E85DC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芥子的起点 / 万象源点</w:t>
            </w:r>
          </w:p>
        </w:tc>
        <w:tc>
          <w:tcPr>
            <w:tcW w:w="3288" w:type="dxa"/>
          </w:tcPr>
          <w:p w14:paraId="2545F50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以一个微小高光核、液珠核或折射核心体现</w:t>
            </w:r>
          </w:p>
        </w:tc>
        <w:tc>
          <w:tcPr>
            <w:tcW w:w="2608" w:type="dxa"/>
          </w:tcPr>
          <w:p w14:paraId="780FC0D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不要做成眼睛或珠宝图案</w:t>
            </w:r>
          </w:p>
        </w:tc>
      </w:tr>
      <w:tr w14:paraId="7D7A5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578E5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空间层次</w:t>
            </w:r>
          </w:p>
        </w:tc>
        <w:tc>
          <w:tcPr>
            <w:tcW w:w="2721" w:type="dxa"/>
          </w:tcPr>
          <w:p w14:paraId="4F1EE94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小中见大、滴中有海</w:t>
            </w:r>
          </w:p>
        </w:tc>
        <w:tc>
          <w:tcPr>
            <w:tcW w:w="3288" w:type="dxa"/>
          </w:tcPr>
          <w:p w14:paraId="2377805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用前中后层和透明深度形成“容纳感”</w:t>
            </w:r>
          </w:p>
        </w:tc>
        <w:tc>
          <w:tcPr>
            <w:tcW w:w="2608" w:type="dxa"/>
          </w:tcPr>
          <w:p w14:paraId="62EAA99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不要做平面单层 logo 失去哲学深度</w:t>
            </w:r>
          </w:p>
        </w:tc>
      </w:tr>
      <w:tr w14:paraId="67B71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8FED85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最终识别</w:t>
            </w:r>
          </w:p>
        </w:tc>
        <w:tc>
          <w:tcPr>
            <w:tcW w:w="2721" w:type="dxa"/>
          </w:tcPr>
          <w:p w14:paraId="7721A3F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可独立作为品牌主符号</w:t>
            </w:r>
          </w:p>
        </w:tc>
        <w:tc>
          <w:tcPr>
            <w:tcW w:w="3288" w:type="dxa"/>
          </w:tcPr>
          <w:p w14:paraId="17D5079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24px、32px、64px、启动页都可成立</w:t>
            </w:r>
          </w:p>
        </w:tc>
        <w:tc>
          <w:tcPr>
            <w:tcW w:w="2608" w:type="dxa"/>
          </w:tcPr>
          <w:p w14:paraId="7D3290A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不能只在大图漂亮</w:t>
            </w:r>
          </w:p>
        </w:tc>
      </w:tr>
    </w:tbl>
    <w:p w14:paraId="7956627C">
      <w:pPr>
        <w:spacing w:after="40" w:line="288" w:lineRule="auto"/>
      </w:pPr>
    </w:p>
    <w:p w14:paraId="10B92D9B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6. 颜色系统（动态，不固化）</w:t>
      </w:r>
    </w:p>
    <w:p w14:paraId="26B51CC2">
      <w:pPr>
        <w:spacing w:after="80" w:line="288" w:lineRule="auto"/>
      </w:pPr>
      <w:r>
        <w:rPr>
          <w:rFonts w:ascii="Inter" w:hAnsi="Inter" w:eastAsia="Noto Sans CJK SC"/>
          <w:b w:val="0"/>
          <w:sz w:val="21"/>
        </w:rPr>
        <w:t>要求：不能是普通海洋蓝，也不能是生命绿色。颜色要像透明液体在光学环境中逐步生成的动态色域。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6"/>
        <w:gridCol w:w="2190"/>
        <w:gridCol w:w="2434"/>
        <w:gridCol w:w="3502"/>
      </w:tblGrid>
      <w:tr w14:paraId="398B2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FFF"/>
          </w:tcPr>
          <w:p w14:paraId="4696D8C8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色域名称</w:t>
            </w:r>
          </w:p>
        </w:tc>
        <w:tc>
          <w:tcPr>
            <w:tcW w:w="2268" w:type="dxa"/>
            <w:shd w:val="clear" w:color="auto" w:fill="EDEFFF"/>
          </w:tcPr>
          <w:p w14:paraId="14C7DBD8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建议色值</w:t>
            </w:r>
          </w:p>
        </w:tc>
        <w:tc>
          <w:tcPr>
            <w:tcW w:w="2551" w:type="dxa"/>
            <w:shd w:val="clear" w:color="auto" w:fill="EDEFFF"/>
          </w:tcPr>
          <w:p w14:paraId="34E8E1C0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角色</w:t>
            </w:r>
          </w:p>
        </w:tc>
        <w:tc>
          <w:tcPr>
            <w:tcW w:w="3685" w:type="dxa"/>
            <w:shd w:val="clear" w:color="auto" w:fill="EDEFFF"/>
          </w:tcPr>
          <w:p w14:paraId="4A62FDB0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使用规则</w:t>
            </w:r>
          </w:p>
        </w:tc>
      </w:tr>
      <w:tr w14:paraId="571DC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66E6D3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Clear Mist</w:t>
            </w:r>
          </w:p>
        </w:tc>
        <w:tc>
          <w:tcPr>
            <w:tcW w:w="2268" w:type="dxa"/>
          </w:tcPr>
          <w:p w14:paraId="64F0ED34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#F6F8FF / 半透明白</w:t>
            </w:r>
          </w:p>
        </w:tc>
        <w:tc>
          <w:tcPr>
            <w:tcW w:w="2551" w:type="dxa"/>
          </w:tcPr>
          <w:p w14:paraId="47D9365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起始透明感、水与空气的基础</w:t>
            </w:r>
          </w:p>
        </w:tc>
        <w:tc>
          <w:tcPr>
            <w:tcW w:w="3685" w:type="dxa"/>
          </w:tcPr>
          <w:p w14:paraId="231BEC2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用于起始滴体和高透明层</w:t>
            </w:r>
          </w:p>
        </w:tc>
      </w:tr>
      <w:tr w14:paraId="4EB8D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35AABC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Opal Lilac</w:t>
            </w:r>
          </w:p>
        </w:tc>
        <w:tc>
          <w:tcPr>
            <w:tcW w:w="2268" w:type="dxa"/>
          </w:tcPr>
          <w:p w14:paraId="41E1546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#B8A8FF</w:t>
            </w:r>
          </w:p>
        </w:tc>
        <w:tc>
          <w:tcPr>
            <w:tcW w:w="2551" w:type="dxa"/>
          </w:tcPr>
          <w:p w14:paraId="161180D9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主品牌光泽色</w:t>
            </w:r>
          </w:p>
        </w:tc>
        <w:tc>
          <w:tcPr>
            <w:tcW w:w="3685" w:type="dxa"/>
          </w:tcPr>
          <w:p w14:paraId="2EFD6AA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作为主渐变核心色之一</w:t>
            </w:r>
          </w:p>
        </w:tc>
      </w:tr>
      <w:tr w14:paraId="64F6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8529E6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Deep Indigo</w:t>
            </w:r>
          </w:p>
        </w:tc>
        <w:tc>
          <w:tcPr>
            <w:tcW w:w="2268" w:type="dxa"/>
          </w:tcPr>
          <w:p w14:paraId="45AF9E7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#2A2468</w:t>
            </w:r>
          </w:p>
        </w:tc>
        <w:tc>
          <w:tcPr>
            <w:tcW w:w="2551" w:type="dxa"/>
          </w:tcPr>
          <w:p w14:paraId="18FFFCB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深层空间与“须弥”深度</w:t>
            </w:r>
          </w:p>
        </w:tc>
        <w:tc>
          <w:tcPr>
            <w:tcW w:w="3685" w:type="dxa"/>
          </w:tcPr>
          <w:p w14:paraId="525CE9DD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用于海面展开后的深层空间</w:t>
            </w:r>
          </w:p>
        </w:tc>
      </w:tr>
      <w:tr w14:paraId="25A9F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1FE671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Aurora Cyan</w:t>
            </w:r>
          </w:p>
        </w:tc>
        <w:tc>
          <w:tcPr>
            <w:tcW w:w="2268" w:type="dxa"/>
          </w:tcPr>
          <w:p w14:paraId="444C776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#8BE7FF</w:t>
            </w:r>
          </w:p>
        </w:tc>
        <w:tc>
          <w:tcPr>
            <w:tcW w:w="2551" w:type="dxa"/>
          </w:tcPr>
          <w:p w14:paraId="3361577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折射与光学高光</w:t>
            </w:r>
          </w:p>
        </w:tc>
        <w:tc>
          <w:tcPr>
            <w:tcW w:w="3685" w:type="dxa"/>
          </w:tcPr>
          <w:p w14:paraId="4554F8C4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只能点缀，不可大面积泛滥</w:t>
            </w:r>
          </w:p>
        </w:tc>
      </w:tr>
      <w:tr w14:paraId="451D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A92E262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Pale Gold</w:t>
            </w:r>
          </w:p>
        </w:tc>
        <w:tc>
          <w:tcPr>
            <w:tcW w:w="2268" w:type="dxa"/>
          </w:tcPr>
          <w:p w14:paraId="7FF2708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#F4D38A</w:t>
            </w:r>
          </w:p>
        </w:tc>
        <w:tc>
          <w:tcPr>
            <w:tcW w:w="2551" w:type="dxa"/>
          </w:tcPr>
          <w:p w14:paraId="30E66FA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灵性与温度</w:t>
            </w:r>
          </w:p>
        </w:tc>
        <w:tc>
          <w:tcPr>
            <w:tcW w:w="3685" w:type="dxa"/>
          </w:tcPr>
          <w:p w14:paraId="5084E40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用于触海瞬间和边缘灵光</w:t>
            </w:r>
          </w:p>
        </w:tc>
      </w:tr>
      <w:tr w14:paraId="0A9D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D9942A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Moon Silver</w:t>
            </w:r>
          </w:p>
        </w:tc>
        <w:tc>
          <w:tcPr>
            <w:tcW w:w="2268" w:type="dxa"/>
          </w:tcPr>
          <w:p w14:paraId="6F376A9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#DDE3F2</w:t>
            </w:r>
          </w:p>
        </w:tc>
        <w:tc>
          <w:tcPr>
            <w:tcW w:w="2551" w:type="dxa"/>
          </w:tcPr>
          <w:p w14:paraId="68230E0D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过渡与中和</w:t>
            </w:r>
          </w:p>
        </w:tc>
        <w:tc>
          <w:tcPr>
            <w:tcW w:w="3685" w:type="dxa"/>
          </w:tcPr>
          <w:p w14:paraId="2592A16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用于连接雾白与紫蓝系统</w:t>
            </w:r>
          </w:p>
        </w:tc>
      </w:tr>
    </w:tbl>
    <w:p w14:paraId="37C20BB2">
      <w:pPr>
        <w:spacing w:after="40" w:line="288" w:lineRule="auto"/>
      </w:pPr>
    </w:p>
    <w:p w14:paraId="00A00BB2">
      <w:pPr>
        <w:spacing w:before="160" w:after="80"/>
      </w:pPr>
      <w:r>
        <w:rPr>
          <w:rFonts w:ascii="Inter" w:hAnsi="Inter" w:eastAsia="Noto Sans CJK SC"/>
          <w:b/>
          <w:color w:val="1C233E"/>
          <w:sz w:val="28"/>
        </w:rPr>
        <w:t>6.1 颜色动态逻辑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4329"/>
        <w:gridCol w:w="3799"/>
      </w:tblGrid>
      <w:tr w14:paraId="236AF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FFF"/>
          </w:tcPr>
          <w:p w14:paraId="14E7661C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阶段</w:t>
            </w:r>
          </w:p>
        </w:tc>
        <w:tc>
          <w:tcPr>
            <w:tcW w:w="4535" w:type="dxa"/>
            <w:shd w:val="clear" w:color="auto" w:fill="EDEFFF"/>
          </w:tcPr>
          <w:p w14:paraId="39C37E2B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颜色变化</w:t>
            </w:r>
          </w:p>
        </w:tc>
        <w:tc>
          <w:tcPr>
            <w:tcW w:w="3969" w:type="dxa"/>
            <w:shd w:val="clear" w:color="auto" w:fill="EDEFFF"/>
          </w:tcPr>
          <w:p w14:paraId="2D35119D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意义</w:t>
            </w:r>
          </w:p>
        </w:tc>
      </w:tr>
      <w:tr w14:paraId="5F386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2AD667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起始滴体</w:t>
            </w:r>
          </w:p>
        </w:tc>
        <w:tc>
          <w:tcPr>
            <w:tcW w:w="4535" w:type="dxa"/>
          </w:tcPr>
          <w:p w14:paraId="03E1F0C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透明白 / 雾白</w:t>
            </w:r>
          </w:p>
        </w:tc>
        <w:tc>
          <w:tcPr>
            <w:tcW w:w="3969" w:type="dxa"/>
          </w:tcPr>
          <w:p w14:paraId="509585A4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未展开之前的纯净起点</w:t>
            </w:r>
          </w:p>
        </w:tc>
      </w:tr>
      <w:tr w14:paraId="5235F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B43EEE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下落聚能</w:t>
            </w:r>
          </w:p>
        </w:tc>
        <w:tc>
          <w:tcPr>
            <w:tcW w:w="4535" w:type="dxa"/>
          </w:tcPr>
          <w:p w14:paraId="3A1CDE7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透明白 → 淡紫 → 蓝紫</w:t>
            </w:r>
          </w:p>
        </w:tc>
        <w:tc>
          <w:tcPr>
            <w:tcW w:w="3969" w:type="dxa"/>
          </w:tcPr>
          <w:p w14:paraId="0146723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能量聚集，世界将被展开</w:t>
            </w:r>
          </w:p>
        </w:tc>
      </w:tr>
      <w:tr w14:paraId="32F54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47D28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海面形成</w:t>
            </w:r>
          </w:p>
        </w:tc>
        <w:tc>
          <w:tcPr>
            <w:tcW w:w="4535" w:type="dxa"/>
          </w:tcPr>
          <w:p w14:paraId="32B0EA0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紫蓝 + 靛色 + 少量金色边缘高光</w:t>
            </w:r>
          </w:p>
        </w:tc>
        <w:tc>
          <w:tcPr>
            <w:tcW w:w="3969" w:type="dxa"/>
          </w:tcPr>
          <w:p w14:paraId="4DE541B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海与系统被展开</w:t>
            </w:r>
          </w:p>
        </w:tc>
      </w:tr>
      <w:tr w14:paraId="3219D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5EB8F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回归收束</w:t>
            </w:r>
          </w:p>
        </w:tc>
        <w:tc>
          <w:tcPr>
            <w:tcW w:w="4535" w:type="dxa"/>
          </w:tcPr>
          <w:p w14:paraId="1A582CF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复杂色层逐渐收回透明与紫蓝核心</w:t>
            </w:r>
          </w:p>
        </w:tc>
        <w:tc>
          <w:tcPr>
            <w:tcW w:w="3969" w:type="dxa"/>
          </w:tcPr>
          <w:p w14:paraId="32DB6F8D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从万象归于一体</w:t>
            </w:r>
          </w:p>
        </w:tc>
      </w:tr>
      <w:tr w14:paraId="613D1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9361C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最终定格</w:t>
            </w:r>
          </w:p>
        </w:tc>
        <w:tc>
          <w:tcPr>
            <w:tcW w:w="4535" w:type="dxa"/>
          </w:tcPr>
          <w:p w14:paraId="4C623FE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透明基底 + 紫蓝核心 + 一点暖金</w:t>
            </w:r>
          </w:p>
        </w:tc>
        <w:tc>
          <w:tcPr>
            <w:tcW w:w="3969" w:type="dxa"/>
          </w:tcPr>
          <w:p w14:paraId="090599B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形成高级、安静、有记忆点的品牌识别</w:t>
            </w:r>
          </w:p>
        </w:tc>
      </w:tr>
    </w:tbl>
    <w:p w14:paraId="22641985">
      <w:pPr>
        <w:spacing w:after="40" w:line="288" w:lineRule="auto"/>
      </w:pPr>
    </w:p>
    <w:p w14:paraId="3537D8B4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7. 启动动画总定义</w:t>
      </w:r>
    </w:p>
    <w:p w14:paraId="01111EAC">
      <w:pPr>
        <w:spacing w:after="80" w:line="288" w:lineRule="auto"/>
      </w:pPr>
      <w:r>
        <w:rPr>
          <w:rFonts w:ascii="Inter" w:hAnsi="Inter" w:eastAsia="Noto Sans CJK SC"/>
          <w:b w:val="0"/>
          <w:sz w:val="21"/>
        </w:rPr>
        <w:t>动画用途：产品冷启动启动页动画。</w:t>
      </w:r>
    </w:p>
    <w:p w14:paraId="2F5EAC5F">
      <w:pPr>
        <w:spacing w:after="80" w:line="288" w:lineRule="auto"/>
      </w:pPr>
      <w:r>
        <w:rPr>
          <w:rFonts w:ascii="Inter" w:hAnsi="Inter" w:eastAsia="Noto Sans CJK SC"/>
          <w:b w:val="0"/>
          <w:sz w:val="21"/>
        </w:rPr>
        <w:t>最终原则：短、准、通透、有哲学逻辑，不拖慢进入页面。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7"/>
        <w:gridCol w:w="7795"/>
      </w:tblGrid>
      <w:tr w14:paraId="77BFA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DEFFF"/>
          </w:tcPr>
          <w:p w14:paraId="5FCC818F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项</w:t>
            </w:r>
          </w:p>
        </w:tc>
        <w:tc>
          <w:tcPr>
            <w:tcW w:w="7937" w:type="dxa"/>
            <w:shd w:val="clear" w:color="auto" w:fill="EDEFFF"/>
          </w:tcPr>
          <w:p w14:paraId="39D61814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最终要求</w:t>
            </w:r>
          </w:p>
        </w:tc>
      </w:tr>
      <w:tr w14:paraId="5EDAE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B1C295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动画时长</w:t>
            </w:r>
          </w:p>
        </w:tc>
        <w:tc>
          <w:tcPr>
            <w:tcW w:w="7937" w:type="dxa"/>
          </w:tcPr>
          <w:p w14:paraId="6D210E0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完整版建议 2.1 秒；允许范围 1.8–2.4 秒</w:t>
            </w:r>
          </w:p>
        </w:tc>
      </w:tr>
      <w:tr w14:paraId="0736E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F21FDE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短版时长</w:t>
            </w:r>
          </w:p>
        </w:tc>
        <w:tc>
          <w:tcPr>
            <w:tcW w:w="7937" w:type="dxa"/>
          </w:tcPr>
          <w:p w14:paraId="6E12A929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0.6–0.9 秒，用于二次进入或轻量启动场景</w:t>
            </w:r>
          </w:p>
        </w:tc>
      </w:tr>
      <w:tr w14:paraId="17D2F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C3392B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结构逻辑</w:t>
            </w:r>
          </w:p>
        </w:tc>
        <w:tc>
          <w:tcPr>
            <w:tcW w:w="7937" w:type="dxa"/>
          </w:tcPr>
          <w:p w14:paraId="5465C34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小 → 大 → 小：一滴形成、下落、海面展开、世界成形、再次收束、Logo 定格</w:t>
            </w:r>
          </w:p>
        </w:tc>
      </w:tr>
      <w:tr w14:paraId="5B98C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50CDB2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最终停留</w:t>
            </w:r>
          </w:p>
        </w:tc>
        <w:tc>
          <w:tcPr>
            <w:tcW w:w="7937" w:type="dxa"/>
          </w:tcPr>
          <w:p w14:paraId="1645F71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Logo 定格后停留 0.4–0.8 秒，再平滑进入主界面</w:t>
            </w:r>
          </w:p>
        </w:tc>
      </w:tr>
      <w:tr w14:paraId="35682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F63698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适用版本</w:t>
            </w:r>
          </w:p>
        </w:tc>
        <w:tc>
          <w:tcPr>
            <w:tcW w:w="7937" w:type="dxa"/>
          </w:tcPr>
          <w:p w14:paraId="28F16BF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三版动画：标准版（中英字标）、韩文版、纯图形版</w:t>
            </w:r>
          </w:p>
        </w:tc>
      </w:tr>
    </w:tbl>
    <w:p w14:paraId="68C2E4C4">
      <w:pPr>
        <w:spacing w:after="40" w:line="288" w:lineRule="auto"/>
      </w:pPr>
    </w:p>
    <w:p w14:paraId="56F674FE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8. 三版启动动画要求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3329"/>
        <w:gridCol w:w="2734"/>
        <w:gridCol w:w="2253"/>
      </w:tblGrid>
      <w:tr w14:paraId="02E9F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FFF"/>
          </w:tcPr>
          <w:p w14:paraId="6AE4502E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版本</w:t>
            </w:r>
          </w:p>
        </w:tc>
        <w:tc>
          <w:tcPr>
            <w:tcW w:w="3685" w:type="dxa"/>
            <w:shd w:val="clear" w:color="auto" w:fill="EDEFFF"/>
          </w:tcPr>
          <w:p w14:paraId="4B46803D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画面收尾</w:t>
            </w:r>
          </w:p>
        </w:tc>
        <w:tc>
          <w:tcPr>
            <w:tcW w:w="3118" w:type="dxa"/>
            <w:shd w:val="clear" w:color="auto" w:fill="EDEFFF"/>
          </w:tcPr>
          <w:p w14:paraId="050B5FB8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适用场景</w:t>
            </w:r>
          </w:p>
        </w:tc>
        <w:tc>
          <w:tcPr>
            <w:tcW w:w="2551" w:type="dxa"/>
            <w:shd w:val="clear" w:color="auto" w:fill="EDEFFF"/>
          </w:tcPr>
          <w:p w14:paraId="54EDFFF6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备注</w:t>
            </w:r>
          </w:p>
        </w:tc>
      </w:tr>
      <w:tr w14:paraId="58351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C97FB4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A 标准版动画</w:t>
            </w:r>
          </w:p>
        </w:tc>
        <w:tc>
          <w:tcPr>
            <w:tcW w:w="3685" w:type="dxa"/>
          </w:tcPr>
          <w:p w14:paraId="5AB624F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图形 Logo + 中文“序境” + 英文“LUMENIS”</w:t>
            </w:r>
          </w:p>
        </w:tc>
        <w:tc>
          <w:tcPr>
            <w:tcW w:w="3118" w:type="dxa"/>
          </w:tcPr>
          <w:p w14:paraId="43BB9BF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主品牌启动、默认产品进入页</w:t>
            </w:r>
          </w:p>
        </w:tc>
        <w:tc>
          <w:tcPr>
            <w:tcW w:w="2551" w:type="dxa"/>
          </w:tcPr>
          <w:p w14:paraId="2611B27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这是主版，优先级最高</w:t>
            </w:r>
          </w:p>
        </w:tc>
      </w:tr>
      <w:tr w14:paraId="4E30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BB41E4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B 韩文版动画</w:t>
            </w:r>
          </w:p>
        </w:tc>
        <w:tc>
          <w:tcPr>
            <w:tcW w:w="3685" w:type="dxa"/>
          </w:tcPr>
          <w:p w14:paraId="4B1E73FD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图形 Logo + 韩文字标</w:t>
            </w:r>
          </w:p>
        </w:tc>
        <w:tc>
          <w:tcPr>
            <w:tcW w:w="3118" w:type="dxa"/>
          </w:tcPr>
          <w:p w14:paraId="06E5AC1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韩语环境 / 韩国市场</w:t>
            </w:r>
          </w:p>
        </w:tc>
        <w:tc>
          <w:tcPr>
            <w:tcW w:w="2551" w:type="dxa"/>
          </w:tcPr>
          <w:p w14:paraId="32FC88C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动画主体与主版一致，只替换收尾字标与少量排版</w:t>
            </w:r>
          </w:p>
        </w:tc>
      </w:tr>
      <w:tr w14:paraId="41F08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8348724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C 纯图形版动画</w:t>
            </w:r>
          </w:p>
        </w:tc>
        <w:tc>
          <w:tcPr>
            <w:tcW w:w="3685" w:type="dxa"/>
          </w:tcPr>
          <w:p w14:paraId="281ADD6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只保留图形 Logo</w:t>
            </w:r>
          </w:p>
        </w:tc>
        <w:tc>
          <w:tcPr>
            <w:tcW w:w="3118" w:type="dxa"/>
          </w:tcPr>
          <w:p w14:paraId="6333EEBD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App Icon 动画、简洁开场、极简场景</w:t>
            </w:r>
          </w:p>
        </w:tc>
        <w:tc>
          <w:tcPr>
            <w:tcW w:w="2551" w:type="dxa"/>
          </w:tcPr>
          <w:p w14:paraId="78270B3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适合更轻、更快的品牌露出</w:t>
            </w:r>
          </w:p>
        </w:tc>
      </w:tr>
    </w:tbl>
    <w:p w14:paraId="0057AB6E">
      <w:pPr>
        <w:spacing w:after="40" w:line="288" w:lineRule="auto"/>
      </w:pPr>
    </w:p>
    <w:p w14:paraId="37095C0B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9. 启动动画分镜执行表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1325"/>
        <w:gridCol w:w="2297"/>
        <w:gridCol w:w="2201"/>
        <w:gridCol w:w="2097"/>
        <w:gridCol w:w="1638"/>
      </w:tblGrid>
      <w:tr w14:paraId="5BADA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EDEFFF"/>
          </w:tcPr>
          <w:p w14:paraId="57DC0E66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5"/>
              </w:rPr>
              <w:t>阶段</w:t>
            </w:r>
          </w:p>
        </w:tc>
        <w:tc>
          <w:tcPr>
            <w:tcW w:w="1417" w:type="dxa"/>
            <w:shd w:val="clear" w:color="auto" w:fill="EDEFFF"/>
          </w:tcPr>
          <w:p w14:paraId="228CB904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5"/>
              </w:rPr>
              <w:t>时间</w:t>
            </w:r>
          </w:p>
        </w:tc>
        <w:tc>
          <w:tcPr>
            <w:tcW w:w="2835" w:type="dxa"/>
            <w:shd w:val="clear" w:color="auto" w:fill="EDEFFF"/>
          </w:tcPr>
          <w:p w14:paraId="7CE2FA50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5"/>
              </w:rPr>
              <w:t>画面</w:t>
            </w:r>
          </w:p>
        </w:tc>
        <w:tc>
          <w:tcPr>
            <w:tcW w:w="2721" w:type="dxa"/>
            <w:shd w:val="clear" w:color="auto" w:fill="EDEFFF"/>
          </w:tcPr>
          <w:p w14:paraId="283F83AE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5"/>
              </w:rPr>
              <w:t>动作</w:t>
            </w:r>
          </w:p>
        </w:tc>
        <w:tc>
          <w:tcPr>
            <w:tcW w:w="2551" w:type="dxa"/>
            <w:shd w:val="clear" w:color="auto" w:fill="EDEFFF"/>
          </w:tcPr>
          <w:p w14:paraId="6791E64E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5"/>
              </w:rPr>
              <w:t>颜色状态</w:t>
            </w:r>
          </w:p>
        </w:tc>
        <w:tc>
          <w:tcPr>
            <w:tcW w:w="1984" w:type="dxa"/>
            <w:shd w:val="clear" w:color="auto" w:fill="EDEFFF"/>
          </w:tcPr>
          <w:p w14:paraId="466F1358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5"/>
              </w:rPr>
              <w:t>目的</w:t>
            </w:r>
          </w:p>
        </w:tc>
      </w:tr>
      <w:tr w14:paraId="4E3F9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4AC494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S0</w:t>
            </w:r>
          </w:p>
        </w:tc>
        <w:tc>
          <w:tcPr>
            <w:tcW w:w="1417" w:type="dxa"/>
          </w:tcPr>
          <w:p w14:paraId="0257737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0.00–0.10s</w:t>
            </w:r>
          </w:p>
        </w:tc>
        <w:tc>
          <w:tcPr>
            <w:tcW w:w="2835" w:type="dxa"/>
          </w:tcPr>
          <w:p w14:paraId="24FD1F6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静默背景，中心偏下极淡雾感</w:t>
            </w:r>
          </w:p>
        </w:tc>
        <w:tc>
          <w:tcPr>
            <w:tcW w:w="2721" w:type="dxa"/>
          </w:tcPr>
          <w:p w14:paraId="01602729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几乎无动作</w:t>
            </w:r>
          </w:p>
        </w:tc>
        <w:tc>
          <w:tcPr>
            <w:tcW w:w="2551" w:type="dxa"/>
          </w:tcPr>
          <w:p w14:paraId="7C06A8C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透明雾白</w:t>
            </w:r>
          </w:p>
        </w:tc>
        <w:tc>
          <w:tcPr>
            <w:tcW w:w="1984" w:type="dxa"/>
          </w:tcPr>
          <w:p w14:paraId="0D934FB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建立气氛与高级感</w:t>
            </w:r>
          </w:p>
        </w:tc>
      </w:tr>
      <w:tr w14:paraId="3106E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2647934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S1</w:t>
            </w:r>
          </w:p>
        </w:tc>
        <w:tc>
          <w:tcPr>
            <w:tcW w:w="1417" w:type="dxa"/>
          </w:tcPr>
          <w:p w14:paraId="6BBE2B2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0.10–0.35s</w:t>
            </w:r>
          </w:p>
        </w:tc>
        <w:tc>
          <w:tcPr>
            <w:tcW w:w="2835" w:type="dxa"/>
          </w:tcPr>
          <w:p w14:paraId="10450D5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顶部中央出现一颗微小光滴</w:t>
            </w:r>
          </w:p>
        </w:tc>
        <w:tc>
          <w:tcPr>
            <w:tcW w:w="2721" w:type="dxa"/>
          </w:tcPr>
          <w:p w14:paraId="6250A55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由 0 到 1 缩放轻显现</w:t>
            </w:r>
          </w:p>
        </w:tc>
        <w:tc>
          <w:tcPr>
            <w:tcW w:w="2551" w:type="dxa"/>
          </w:tcPr>
          <w:p w14:paraId="7B9A681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透明白 + 淡冷紫</w:t>
            </w:r>
          </w:p>
        </w:tc>
        <w:tc>
          <w:tcPr>
            <w:tcW w:w="1984" w:type="dxa"/>
          </w:tcPr>
          <w:p w14:paraId="040E9FA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芥子出现</w:t>
            </w:r>
          </w:p>
        </w:tc>
      </w:tr>
      <w:tr w14:paraId="458FF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8A88B7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S2</w:t>
            </w:r>
          </w:p>
        </w:tc>
        <w:tc>
          <w:tcPr>
            <w:tcW w:w="1417" w:type="dxa"/>
          </w:tcPr>
          <w:p w14:paraId="60CE07ED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0.35–0.72s</w:t>
            </w:r>
          </w:p>
        </w:tc>
        <w:tc>
          <w:tcPr>
            <w:tcW w:w="2835" w:type="dxa"/>
          </w:tcPr>
          <w:p w14:paraId="68D10689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水滴垂直下落</w:t>
            </w:r>
          </w:p>
        </w:tc>
        <w:tc>
          <w:tcPr>
            <w:tcW w:w="2721" w:type="dxa"/>
          </w:tcPr>
          <w:p w14:paraId="59D71879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带轻微折射拖尾，先慢后快</w:t>
            </w:r>
          </w:p>
        </w:tc>
        <w:tc>
          <w:tcPr>
            <w:tcW w:w="2551" w:type="dxa"/>
          </w:tcPr>
          <w:p w14:paraId="37DB1B8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冷白 → 淡紫 → 蓝紫</w:t>
            </w:r>
          </w:p>
        </w:tc>
        <w:tc>
          <w:tcPr>
            <w:tcW w:w="1984" w:type="dxa"/>
          </w:tcPr>
          <w:p w14:paraId="5F45BC7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由小入大，聚能</w:t>
            </w:r>
          </w:p>
        </w:tc>
      </w:tr>
      <w:tr w14:paraId="0A41B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51A1AED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S3</w:t>
            </w:r>
          </w:p>
        </w:tc>
        <w:tc>
          <w:tcPr>
            <w:tcW w:w="1417" w:type="dxa"/>
          </w:tcPr>
          <w:p w14:paraId="2C5253A2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0.72–1.02s</w:t>
            </w:r>
          </w:p>
        </w:tc>
        <w:tc>
          <w:tcPr>
            <w:tcW w:w="2835" w:type="dxa"/>
          </w:tcPr>
          <w:p w14:paraId="01B73FC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水滴触底，液态海面生成</w:t>
            </w:r>
          </w:p>
        </w:tc>
        <w:tc>
          <w:tcPr>
            <w:tcW w:w="2721" w:type="dxa"/>
          </w:tcPr>
          <w:p w14:paraId="4529A56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从接触点扩张出海平线 / 液面</w:t>
            </w:r>
          </w:p>
        </w:tc>
        <w:tc>
          <w:tcPr>
            <w:tcW w:w="2551" w:type="dxa"/>
          </w:tcPr>
          <w:p w14:paraId="54F2882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紫蓝 + 少量暖金高光</w:t>
            </w:r>
          </w:p>
        </w:tc>
        <w:tc>
          <w:tcPr>
            <w:tcW w:w="1984" w:type="dxa"/>
          </w:tcPr>
          <w:p w14:paraId="794388B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须弥展开的起点</w:t>
            </w:r>
          </w:p>
        </w:tc>
      </w:tr>
      <w:tr w14:paraId="546AE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E19615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S4</w:t>
            </w:r>
          </w:p>
        </w:tc>
        <w:tc>
          <w:tcPr>
            <w:tcW w:w="1417" w:type="dxa"/>
          </w:tcPr>
          <w:p w14:paraId="65E6DDB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1.02–1.38s</w:t>
            </w:r>
          </w:p>
        </w:tc>
        <w:tc>
          <w:tcPr>
            <w:tcW w:w="2835" w:type="dxa"/>
          </w:tcPr>
          <w:p w14:paraId="6D03206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海面 / 世界短暂展开成完整空间</w:t>
            </w:r>
          </w:p>
        </w:tc>
        <w:tc>
          <w:tcPr>
            <w:tcW w:w="2721" w:type="dxa"/>
          </w:tcPr>
          <w:p w14:paraId="2D657AA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横向扩展 + 深度层次形成</w:t>
            </w:r>
          </w:p>
        </w:tc>
        <w:tc>
          <w:tcPr>
            <w:tcW w:w="2551" w:type="dxa"/>
          </w:tcPr>
          <w:p w14:paraId="3EF8BF4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Deep Indigo + Opal Lilac + Gold</w:t>
            </w:r>
          </w:p>
        </w:tc>
        <w:tc>
          <w:tcPr>
            <w:tcW w:w="1984" w:type="dxa"/>
          </w:tcPr>
          <w:p w14:paraId="0648020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生态与系统形成</w:t>
            </w:r>
          </w:p>
        </w:tc>
      </w:tr>
      <w:tr w14:paraId="3F6EB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8EACAB2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S5</w:t>
            </w:r>
          </w:p>
        </w:tc>
        <w:tc>
          <w:tcPr>
            <w:tcW w:w="1417" w:type="dxa"/>
          </w:tcPr>
          <w:p w14:paraId="3D2DA86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1.38–1.78s</w:t>
            </w:r>
          </w:p>
        </w:tc>
        <w:tc>
          <w:tcPr>
            <w:tcW w:w="2835" w:type="dxa"/>
          </w:tcPr>
          <w:p w14:paraId="12C3EA1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海与空间逐渐向内回收</w:t>
            </w:r>
          </w:p>
        </w:tc>
        <w:tc>
          <w:tcPr>
            <w:tcW w:w="2721" w:type="dxa"/>
          </w:tcPr>
          <w:p w14:paraId="1A16C459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柔和回吸，不硬切</w:t>
            </w:r>
          </w:p>
        </w:tc>
        <w:tc>
          <w:tcPr>
            <w:tcW w:w="2551" w:type="dxa"/>
          </w:tcPr>
          <w:p w14:paraId="0CC5D5F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色层回归清透</w:t>
            </w:r>
          </w:p>
        </w:tc>
        <w:tc>
          <w:tcPr>
            <w:tcW w:w="1984" w:type="dxa"/>
          </w:tcPr>
          <w:p w14:paraId="4214366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从万象归一</w:t>
            </w:r>
          </w:p>
        </w:tc>
      </w:tr>
      <w:tr w14:paraId="6E979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B672C3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S6</w:t>
            </w:r>
          </w:p>
        </w:tc>
        <w:tc>
          <w:tcPr>
            <w:tcW w:w="1417" w:type="dxa"/>
          </w:tcPr>
          <w:p w14:paraId="6185459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1.78–2.10s</w:t>
            </w:r>
          </w:p>
        </w:tc>
        <w:tc>
          <w:tcPr>
            <w:tcW w:w="2835" w:type="dxa"/>
          </w:tcPr>
          <w:p w14:paraId="25BA98E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最终收缩定格为 Logo</w:t>
            </w:r>
          </w:p>
        </w:tc>
        <w:tc>
          <w:tcPr>
            <w:tcW w:w="2721" w:type="dxa"/>
          </w:tcPr>
          <w:p w14:paraId="4B28229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图形稳定，文字淡入</w:t>
            </w:r>
          </w:p>
        </w:tc>
        <w:tc>
          <w:tcPr>
            <w:tcW w:w="2551" w:type="dxa"/>
          </w:tcPr>
          <w:p w14:paraId="53F95A8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透明 + 紫蓝核心 + 一点暖金</w:t>
            </w:r>
          </w:p>
        </w:tc>
        <w:tc>
          <w:tcPr>
            <w:tcW w:w="1984" w:type="dxa"/>
          </w:tcPr>
          <w:p w14:paraId="22A740F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品牌识别完成</w:t>
            </w:r>
          </w:p>
        </w:tc>
      </w:tr>
      <w:tr w14:paraId="0D600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E2B0E3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S7</w:t>
            </w:r>
          </w:p>
        </w:tc>
        <w:tc>
          <w:tcPr>
            <w:tcW w:w="1417" w:type="dxa"/>
          </w:tcPr>
          <w:p w14:paraId="4541119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2.10–2.30s</w:t>
            </w:r>
          </w:p>
        </w:tc>
        <w:tc>
          <w:tcPr>
            <w:tcW w:w="2835" w:type="dxa"/>
          </w:tcPr>
          <w:p w14:paraId="50ADDC1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停留后进入主界面</w:t>
            </w:r>
          </w:p>
        </w:tc>
        <w:tc>
          <w:tcPr>
            <w:tcW w:w="2721" w:type="dxa"/>
          </w:tcPr>
          <w:p w14:paraId="1B2DA3E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轻淡出或融入主界面</w:t>
            </w:r>
          </w:p>
        </w:tc>
        <w:tc>
          <w:tcPr>
            <w:tcW w:w="2551" w:type="dxa"/>
          </w:tcPr>
          <w:p w14:paraId="444563BD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保持品牌气质</w:t>
            </w:r>
          </w:p>
        </w:tc>
        <w:tc>
          <w:tcPr>
            <w:tcW w:w="1984" w:type="dxa"/>
          </w:tcPr>
          <w:p w14:paraId="0CFC64F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5"/>
              </w:rPr>
              <w:t>平滑切主界面</w:t>
            </w:r>
          </w:p>
        </w:tc>
      </w:tr>
    </w:tbl>
    <w:p w14:paraId="0AC9A0DC">
      <w:pPr>
        <w:spacing w:after="40" w:line="288" w:lineRule="auto"/>
      </w:pPr>
    </w:p>
    <w:p w14:paraId="6D7773F7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10. 动画材质与画面规则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3118"/>
        <w:gridCol w:w="2835"/>
      </w:tblGrid>
      <w:tr w14:paraId="692F9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FFF"/>
          </w:tcPr>
          <w:p w14:paraId="5EDAF428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对象</w:t>
            </w:r>
          </w:p>
        </w:tc>
        <w:tc>
          <w:tcPr>
            <w:tcW w:w="2551" w:type="dxa"/>
            <w:shd w:val="clear" w:color="auto" w:fill="EDEFFF"/>
          </w:tcPr>
          <w:p w14:paraId="6EAC221E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材质要求</w:t>
            </w:r>
          </w:p>
        </w:tc>
        <w:tc>
          <w:tcPr>
            <w:tcW w:w="3118" w:type="dxa"/>
            <w:shd w:val="clear" w:color="auto" w:fill="EDEFFF"/>
          </w:tcPr>
          <w:p w14:paraId="26A5717E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实现建议</w:t>
            </w:r>
          </w:p>
        </w:tc>
        <w:tc>
          <w:tcPr>
            <w:tcW w:w="2835" w:type="dxa"/>
            <w:shd w:val="clear" w:color="auto" w:fill="EDEFFF"/>
          </w:tcPr>
          <w:p w14:paraId="3C2D7074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禁止事项</w:t>
            </w:r>
          </w:p>
        </w:tc>
      </w:tr>
      <w:tr w14:paraId="04D0E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FC1D74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水滴</w:t>
            </w:r>
          </w:p>
        </w:tc>
        <w:tc>
          <w:tcPr>
            <w:tcW w:w="2551" w:type="dxa"/>
          </w:tcPr>
          <w:p w14:paraId="0B915A4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透明液态 / 光学凝胶感</w:t>
            </w:r>
          </w:p>
        </w:tc>
        <w:tc>
          <w:tcPr>
            <w:tcW w:w="3118" w:type="dxa"/>
          </w:tcPr>
          <w:p w14:paraId="47C7E3A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轻折射、轻高光、体积感</w:t>
            </w:r>
          </w:p>
        </w:tc>
        <w:tc>
          <w:tcPr>
            <w:tcW w:w="2835" w:type="dxa"/>
          </w:tcPr>
          <w:p w14:paraId="5233E62D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不要塑料感或珠宝广告感</w:t>
            </w:r>
          </w:p>
        </w:tc>
      </w:tr>
      <w:tr w14:paraId="6668A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73CFC9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海面</w:t>
            </w:r>
          </w:p>
        </w:tc>
        <w:tc>
          <w:tcPr>
            <w:tcW w:w="2551" w:type="dxa"/>
          </w:tcPr>
          <w:p w14:paraId="6B4E2D4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液态地平面 / 光学流面</w:t>
            </w:r>
          </w:p>
        </w:tc>
        <w:tc>
          <w:tcPr>
            <w:tcW w:w="3118" w:type="dxa"/>
          </w:tcPr>
          <w:p w14:paraId="5BEBF07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层叠渐变 + 柔和 blur + 深浅空间</w:t>
            </w:r>
          </w:p>
        </w:tc>
        <w:tc>
          <w:tcPr>
            <w:tcW w:w="2835" w:type="dxa"/>
          </w:tcPr>
          <w:p w14:paraId="2A0ACFF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不要写实海浪和白色浪花</w:t>
            </w:r>
          </w:p>
        </w:tc>
      </w:tr>
      <w:tr w14:paraId="77B78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B0024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高光</w:t>
            </w:r>
          </w:p>
        </w:tc>
        <w:tc>
          <w:tcPr>
            <w:tcW w:w="2551" w:type="dxa"/>
          </w:tcPr>
          <w:p w14:paraId="69038C72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细腻、轻、克制</w:t>
            </w:r>
          </w:p>
        </w:tc>
        <w:tc>
          <w:tcPr>
            <w:tcW w:w="3118" w:type="dxa"/>
          </w:tcPr>
          <w:p w14:paraId="33928D4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边缘闪点和柔和灵光即可</w:t>
            </w:r>
          </w:p>
        </w:tc>
        <w:tc>
          <w:tcPr>
            <w:tcW w:w="2835" w:type="dxa"/>
          </w:tcPr>
          <w:p w14:paraId="41B3933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不要强爆闪</w:t>
            </w:r>
          </w:p>
        </w:tc>
      </w:tr>
      <w:tr w14:paraId="7D746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9B07C7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阴影</w:t>
            </w:r>
          </w:p>
        </w:tc>
        <w:tc>
          <w:tcPr>
            <w:tcW w:w="2551" w:type="dxa"/>
          </w:tcPr>
          <w:p w14:paraId="1247B6F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极轻</w:t>
            </w:r>
          </w:p>
        </w:tc>
        <w:tc>
          <w:tcPr>
            <w:tcW w:w="3118" w:type="dxa"/>
          </w:tcPr>
          <w:p w14:paraId="0678663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只用于空间关系</w:t>
            </w:r>
          </w:p>
        </w:tc>
        <w:tc>
          <w:tcPr>
            <w:tcW w:w="2835" w:type="dxa"/>
          </w:tcPr>
          <w:p w14:paraId="7BAF2B0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不要沉重投影</w:t>
            </w:r>
          </w:p>
        </w:tc>
      </w:tr>
      <w:tr w14:paraId="2B1B1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A7BADD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背景</w:t>
            </w:r>
          </w:p>
        </w:tc>
        <w:tc>
          <w:tcPr>
            <w:tcW w:w="2551" w:type="dxa"/>
          </w:tcPr>
          <w:p w14:paraId="77CD1812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雾白 / 月白 / 极浅冷灰；深色版可用静夜靛黑</w:t>
            </w:r>
          </w:p>
        </w:tc>
        <w:tc>
          <w:tcPr>
            <w:tcW w:w="3118" w:type="dxa"/>
          </w:tcPr>
          <w:p w14:paraId="7FDE0ED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突出通透质感</w:t>
            </w:r>
          </w:p>
        </w:tc>
        <w:tc>
          <w:tcPr>
            <w:tcW w:w="2835" w:type="dxa"/>
          </w:tcPr>
          <w:p w14:paraId="0B775B19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不要普通海洋背景图</w:t>
            </w:r>
          </w:p>
        </w:tc>
      </w:tr>
    </w:tbl>
    <w:p w14:paraId="4944D430">
      <w:pPr>
        <w:spacing w:after="40" w:line="288" w:lineRule="auto"/>
      </w:pPr>
    </w:p>
    <w:p w14:paraId="43734C83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11. 豆包必须产出的交付物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4176"/>
        <w:gridCol w:w="1393"/>
        <w:gridCol w:w="3336"/>
      </w:tblGrid>
      <w:tr w14:paraId="399D2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DEFFF"/>
          </w:tcPr>
          <w:p w14:paraId="1197441B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类别</w:t>
            </w:r>
          </w:p>
        </w:tc>
        <w:tc>
          <w:tcPr>
            <w:tcW w:w="4252" w:type="dxa"/>
            <w:shd w:val="clear" w:color="auto" w:fill="EDEFFF"/>
          </w:tcPr>
          <w:p w14:paraId="1D153D45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交付物</w:t>
            </w:r>
          </w:p>
        </w:tc>
        <w:tc>
          <w:tcPr>
            <w:tcW w:w="1417" w:type="dxa"/>
            <w:shd w:val="clear" w:color="auto" w:fill="EDEFFF"/>
          </w:tcPr>
          <w:p w14:paraId="494788AC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是否必须</w:t>
            </w:r>
          </w:p>
        </w:tc>
        <w:tc>
          <w:tcPr>
            <w:tcW w:w="3402" w:type="dxa"/>
            <w:shd w:val="clear" w:color="auto" w:fill="EDEFFF"/>
          </w:tcPr>
          <w:p w14:paraId="69B2D804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说明</w:t>
            </w:r>
          </w:p>
        </w:tc>
      </w:tr>
      <w:tr w14:paraId="401A7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31AC41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Logo</w:t>
            </w:r>
          </w:p>
        </w:tc>
        <w:tc>
          <w:tcPr>
            <w:tcW w:w="4252" w:type="dxa"/>
          </w:tcPr>
          <w:p w14:paraId="70BA0F54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标准版 Logo（中英字标）</w:t>
            </w:r>
          </w:p>
        </w:tc>
        <w:tc>
          <w:tcPr>
            <w:tcW w:w="1417" w:type="dxa"/>
          </w:tcPr>
          <w:p w14:paraId="4040DEF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必须</w:t>
            </w:r>
          </w:p>
        </w:tc>
        <w:tc>
          <w:tcPr>
            <w:tcW w:w="3402" w:type="dxa"/>
          </w:tcPr>
          <w:p w14:paraId="73C2811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SVG / PNG / 深浅底版</w:t>
            </w:r>
          </w:p>
        </w:tc>
      </w:tr>
      <w:tr w14:paraId="01082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D58226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Logo</w:t>
            </w:r>
          </w:p>
        </w:tc>
        <w:tc>
          <w:tcPr>
            <w:tcW w:w="4252" w:type="dxa"/>
          </w:tcPr>
          <w:p w14:paraId="3C5365A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韩文版 Logo</w:t>
            </w:r>
          </w:p>
        </w:tc>
        <w:tc>
          <w:tcPr>
            <w:tcW w:w="1417" w:type="dxa"/>
          </w:tcPr>
          <w:p w14:paraId="1EF579B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必须</w:t>
            </w:r>
          </w:p>
        </w:tc>
        <w:tc>
          <w:tcPr>
            <w:tcW w:w="3402" w:type="dxa"/>
          </w:tcPr>
          <w:p w14:paraId="5D12014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SVG / PNG / 深浅底版</w:t>
            </w:r>
          </w:p>
        </w:tc>
      </w:tr>
      <w:tr w14:paraId="1F019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A96E3D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Logo</w:t>
            </w:r>
          </w:p>
        </w:tc>
        <w:tc>
          <w:tcPr>
            <w:tcW w:w="4252" w:type="dxa"/>
          </w:tcPr>
          <w:p w14:paraId="4F62BAE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纯图形 Logo</w:t>
            </w:r>
          </w:p>
        </w:tc>
        <w:tc>
          <w:tcPr>
            <w:tcW w:w="1417" w:type="dxa"/>
          </w:tcPr>
          <w:p w14:paraId="328F364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必须</w:t>
            </w:r>
          </w:p>
        </w:tc>
        <w:tc>
          <w:tcPr>
            <w:tcW w:w="3402" w:type="dxa"/>
          </w:tcPr>
          <w:p w14:paraId="6E3FA98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SVG / PNG / App Icon 适配</w:t>
            </w:r>
          </w:p>
        </w:tc>
      </w:tr>
      <w:tr w14:paraId="0A23F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3354FD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Logo</w:t>
            </w:r>
          </w:p>
        </w:tc>
        <w:tc>
          <w:tcPr>
            <w:tcW w:w="4252" w:type="dxa"/>
          </w:tcPr>
          <w:p w14:paraId="687DD162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小尺寸优化版</w:t>
            </w:r>
          </w:p>
        </w:tc>
        <w:tc>
          <w:tcPr>
            <w:tcW w:w="1417" w:type="dxa"/>
          </w:tcPr>
          <w:p w14:paraId="0F3EBB5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必须</w:t>
            </w:r>
          </w:p>
        </w:tc>
        <w:tc>
          <w:tcPr>
            <w:tcW w:w="3402" w:type="dxa"/>
          </w:tcPr>
          <w:p w14:paraId="128409A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24px / 32px / 64px 基准</w:t>
            </w:r>
          </w:p>
        </w:tc>
      </w:tr>
      <w:tr w14:paraId="5B5F2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690225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动画</w:t>
            </w:r>
          </w:p>
        </w:tc>
        <w:tc>
          <w:tcPr>
            <w:tcW w:w="4252" w:type="dxa"/>
          </w:tcPr>
          <w:p w14:paraId="5E7D4AF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标准版启动动画</w:t>
            </w:r>
          </w:p>
        </w:tc>
        <w:tc>
          <w:tcPr>
            <w:tcW w:w="1417" w:type="dxa"/>
          </w:tcPr>
          <w:p w14:paraId="00A74B3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必须</w:t>
            </w:r>
          </w:p>
        </w:tc>
        <w:tc>
          <w:tcPr>
            <w:tcW w:w="3402" w:type="dxa"/>
          </w:tcPr>
          <w:p w14:paraId="6945F49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完整版 + 短版</w:t>
            </w:r>
          </w:p>
        </w:tc>
      </w:tr>
      <w:tr w14:paraId="2CFB8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438B63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动画</w:t>
            </w:r>
          </w:p>
        </w:tc>
        <w:tc>
          <w:tcPr>
            <w:tcW w:w="4252" w:type="dxa"/>
          </w:tcPr>
          <w:p w14:paraId="1D86E74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韩文版启动动画</w:t>
            </w:r>
          </w:p>
        </w:tc>
        <w:tc>
          <w:tcPr>
            <w:tcW w:w="1417" w:type="dxa"/>
          </w:tcPr>
          <w:p w14:paraId="03C1452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必须</w:t>
            </w:r>
          </w:p>
        </w:tc>
        <w:tc>
          <w:tcPr>
            <w:tcW w:w="3402" w:type="dxa"/>
          </w:tcPr>
          <w:p w14:paraId="10265C4D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完整版 + 短版</w:t>
            </w:r>
          </w:p>
        </w:tc>
      </w:tr>
      <w:tr w14:paraId="09B98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6EF993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动画</w:t>
            </w:r>
          </w:p>
        </w:tc>
        <w:tc>
          <w:tcPr>
            <w:tcW w:w="4252" w:type="dxa"/>
          </w:tcPr>
          <w:p w14:paraId="2095A76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纯图形版启动动画</w:t>
            </w:r>
          </w:p>
        </w:tc>
        <w:tc>
          <w:tcPr>
            <w:tcW w:w="1417" w:type="dxa"/>
          </w:tcPr>
          <w:p w14:paraId="2C41210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必须</w:t>
            </w:r>
          </w:p>
        </w:tc>
        <w:tc>
          <w:tcPr>
            <w:tcW w:w="3402" w:type="dxa"/>
          </w:tcPr>
          <w:p w14:paraId="3397BF7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完整版 + 短版</w:t>
            </w:r>
          </w:p>
        </w:tc>
      </w:tr>
      <w:tr w14:paraId="2D53A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0795F1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规范</w:t>
            </w:r>
          </w:p>
        </w:tc>
        <w:tc>
          <w:tcPr>
            <w:tcW w:w="4252" w:type="dxa"/>
          </w:tcPr>
          <w:p w14:paraId="4D3823A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Storyboard 关键帧</w:t>
            </w:r>
          </w:p>
        </w:tc>
        <w:tc>
          <w:tcPr>
            <w:tcW w:w="1417" w:type="dxa"/>
          </w:tcPr>
          <w:p w14:paraId="57142DE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必须</w:t>
            </w:r>
          </w:p>
        </w:tc>
        <w:tc>
          <w:tcPr>
            <w:tcW w:w="3402" w:type="dxa"/>
          </w:tcPr>
          <w:p w14:paraId="5AEF793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至少 6–8 帧</w:t>
            </w:r>
          </w:p>
        </w:tc>
      </w:tr>
      <w:tr w14:paraId="65BAD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3902E5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规范</w:t>
            </w:r>
          </w:p>
        </w:tc>
        <w:tc>
          <w:tcPr>
            <w:tcW w:w="4252" w:type="dxa"/>
          </w:tcPr>
          <w:p w14:paraId="11BFEE5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Motion Spec</w:t>
            </w:r>
          </w:p>
        </w:tc>
        <w:tc>
          <w:tcPr>
            <w:tcW w:w="1417" w:type="dxa"/>
          </w:tcPr>
          <w:p w14:paraId="5B9F1C24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必须</w:t>
            </w:r>
          </w:p>
        </w:tc>
        <w:tc>
          <w:tcPr>
            <w:tcW w:w="3402" w:type="dxa"/>
          </w:tcPr>
          <w:p w14:paraId="6948E0A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时间、曲线、层级、颜色变化、收尾逻辑</w:t>
            </w:r>
          </w:p>
        </w:tc>
      </w:tr>
      <w:tr w14:paraId="0FC9D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771890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规范</w:t>
            </w:r>
          </w:p>
        </w:tc>
        <w:tc>
          <w:tcPr>
            <w:tcW w:w="4252" w:type="dxa"/>
          </w:tcPr>
          <w:p w14:paraId="65DDD52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色彩规范表</w:t>
            </w:r>
          </w:p>
        </w:tc>
        <w:tc>
          <w:tcPr>
            <w:tcW w:w="1417" w:type="dxa"/>
          </w:tcPr>
          <w:p w14:paraId="0776DB3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必须</w:t>
            </w:r>
          </w:p>
        </w:tc>
        <w:tc>
          <w:tcPr>
            <w:tcW w:w="3402" w:type="dxa"/>
          </w:tcPr>
          <w:p w14:paraId="7FB16ED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动态色域逻辑与使用边界</w:t>
            </w:r>
          </w:p>
        </w:tc>
      </w:tr>
      <w:tr w14:paraId="4DFB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B01F82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规范</w:t>
            </w:r>
          </w:p>
        </w:tc>
        <w:tc>
          <w:tcPr>
            <w:tcW w:w="4252" w:type="dxa"/>
          </w:tcPr>
          <w:p w14:paraId="18CCFE3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Logo 使用规范</w:t>
            </w:r>
          </w:p>
        </w:tc>
        <w:tc>
          <w:tcPr>
            <w:tcW w:w="1417" w:type="dxa"/>
          </w:tcPr>
          <w:p w14:paraId="371C574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必须</w:t>
            </w:r>
          </w:p>
        </w:tc>
        <w:tc>
          <w:tcPr>
            <w:tcW w:w="3402" w:type="dxa"/>
          </w:tcPr>
          <w:p w14:paraId="227A26D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留白、安全区、背景适配、禁用示例</w:t>
            </w:r>
          </w:p>
        </w:tc>
      </w:tr>
      <w:tr w14:paraId="4854D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1E78FD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交接</w:t>
            </w:r>
          </w:p>
        </w:tc>
        <w:tc>
          <w:tcPr>
            <w:tcW w:w="4252" w:type="dxa"/>
          </w:tcPr>
          <w:p w14:paraId="73E459A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前端 / Codex 接入说明</w:t>
            </w:r>
          </w:p>
        </w:tc>
        <w:tc>
          <w:tcPr>
            <w:tcW w:w="1417" w:type="dxa"/>
          </w:tcPr>
          <w:p w14:paraId="7017152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必须</w:t>
            </w:r>
          </w:p>
        </w:tc>
        <w:tc>
          <w:tcPr>
            <w:tcW w:w="3402" w:type="dxa"/>
          </w:tcPr>
          <w:p w14:paraId="548415D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冷启动、短版、降级逻辑</w:t>
            </w:r>
          </w:p>
        </w:tc>
      </w:tr>
    </w:tbl>
    <w:p w14:paraId="52F5C63D">
      <w:pPr>
        <w:spacing w:after="40" w:line="288" w:lineRule="auto"/>
      </w:pPr>
    </w:p>
    <w:p w14:paraId="1622755D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12. 实施步骤（豆包直接照做）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5680"/>
        <w:gridCol w:w="3529"/>
      </w:tblGrid>
      <w:tr w14:paraId="0DC1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DEFFF"/>
          </w:tcPr>
          <w:p w14:paraId="6F5E499E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步骤</w:t>
            </w:r>
          </w:p>
        </w:tc>
        <w:tc>
          <w:tcPr>
            <w:tcW w:w="5953" w:type="dxa"/>
            <w:shd w:val="clear" w:color="auto" w:fill="EDEFFF"/>
          </w:tcPr>
          <w:p w14:paraId="19641528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豆包要做什么</w:t>
            </w:r>
          </w:p>
        </w:tc>
        <w:tc>
          <w:tcPr>
            <w:tcW w:w="3685" w:type="dxa"/>
            <w:shd w:val="clear" w:color="auto" w:fill="EDEFFF"/>
          </w:tcPr>
          <w:p w14:paraId="1C33888F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6"/>
              </w:rPr>
              <w:t>输出结果</w:t>
            </w:r>
          </w:p>
        </w:tc>
      </w:tr>
      <w:tr w14:paraId="4959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A216908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1</w:t>
            </w:r>
          </w:p>
        </w:tc>
        <w:tc>
          <w:tcPr>
            <w:tcW w:w="5953" w:type="dxa"/>
          </w:tcPr>
          <w:p w14:paraId="1BA02C4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围绕“滴 + 海 + 容器世界”做 3 个草图方向，但必须同一哲学体系</w:t>
            </w:r>
          </w:p>
        </w:tc>
        <w:tc>
          <w:tcPr>
            <w:tcW w:w="3685" w:type="dxa"/>
          </w:tcPr>
          <w:p w14:paraId="4ECD9C3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内部筛选 1 个主骨架</w:t>
            </w:r>
          </w:p>
        </w:tc>
      </w:tr>
      <w:tr w14:paraId="7932E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972D12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2</w:t>
            </w:r>
          </w:p>
        </w:tc>
        <w:tc>
          <w:tcPr>
            <w:tcW w:w="5953" w:type="dxa"/>
          </w:tcPr>
          <w:p w14:paraId="049D914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确定最终 Logo 图形骨架</w:t>
            </w:r>
          </w:p>
        </w:tc>
        <w:tc>
          <w:tcPr>
            <w:tcW w:w="3685" w:type="dxa"/>
          </w:tcPr>
          <w:p w14:paraId="2BEEA54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主图形定稿</w:t>
            </w:r>
          </w:p>
        </w:tc>
      </w:tr>
      <w:tr w14:paraId="1A000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7AEB8A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3</w:t>
            </w:r>
          </w:p>
        </w:tc>
        <w:tc>
          <w:tcPr>
            <w:tcW w:w="5953" w:type="dxa"/>
          </w:tcPr>
          <w:p w14:paraId="628DA13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分别完成中英字标、韩文字标、纯图形版的组合关系</w:t>
            </w:r>
          </w:p>
        </w:tc>
        <w:tc>
          <w:tcPr>
            <w:tcW w:w="3685" w:type="dxa"/>
          </w:tcPr>
          <w:p w14:paraId="468D511D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Logo 家族定稿</w:t>
            </w:r>
          </w:p>
        </w:tc>
      </w:tr>
      <w:tr w14:paraId="3086A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96BC32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4</w:t>
            </w:r>
          </w:p>
        </w:tc>
        <w:tc>
          <w:tcPr>
            <w:tcW w:w="5953" w:type="dxa"/>
          </w:tcPr>
          <w:p w14:paraId="65B10AA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建立动态色域与深浅底适配</w:t>
            </w:r>
          </w:p>
        </w:tc>
        <w:tc>
          <w:tcPr>
            <w:tcW w:w="3685" w:type="dxa"/>
          </w:tcPr>
          <w:p w14:paraId="216A01D9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颜色规范</w:t>
            </w:r>
          </w:p>
        </w:tc>
      </w:tr>
      <w:tr w14:paraId="48CD9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01ECEA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5</w:t>
            </w:r>
          </w:p>
        </w:tc>
        <w:tc>
          <w:tcPr>
            <w:tcW w:w="5953" w:type="dxa"/>
          </w:tcPr>
          <w:p w14:paraId="11CD2C3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输出静态 Logo 全套</w:t>
            </w:r>
          </w:p>
        </w:tc>
        <w:tc>
          <w:tcPr>
            <w:tcW w:w="3685" w:type="dxa"/>
          </w:tcPr>
          <w:p w14:paraId="16D0DF9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SVG / PNG / 小尺寸版</w:t>
            </w:r>
          </w:p>
        </w:tc>
      </w:tr>
      <w:tr w14:paraId="7910B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51905B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6</w:t>
            </w:r>
          </w:p>
        </w:tc>
        <w:tc>
          <w:tcPr>
            <w:tcW w:w="5953" w:type="dxa"/>
          </w:tcPr>
          <w:p w14:paraId="3DF5C60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制作 3 版启动动画 storyboard</w:t>
            </w:r>
          </w:p>
        </w:tc>
        <w:tc>
          <w:tcPr>
            <w:tcW w:w="3685" w:type="dxa"/>
          </w:tcPr>
          <w:p w14:paraId="39AAAC1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关键帧方案</w:t>
            </w:r>
          </w:p>
        </w:tc>
      </w:tr>
      <w:tr w14:paraId="0FB04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25B2559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7</w:t>
            </w:r>
          </w:p>
        </w:tc>
        <w:tc>
          <w:tcPr>
            <w:tcW w:w="5953" w:type="dxa"/>
          </w:tcPr>
          <w:p w14:paraId="758A162F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完成 3 版完整版启动动画</w:t>
            </w:r>
          </w:p>
        </w:tc>
        <w:tc>
          <w:tcPr>
            <w:tcW w:w="3685" w:type="dxa"/>
          </w:tcPr>
          <w:p w14:paraId="7038B23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每版 2.1 秒左右</w:t>
            </w:r>
          </w:p>
        </w:tc>
      </w:tr>
      <w:tr w14:paraId="685FC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52959B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8</w:t>
            </w:r>
          </w:p>
        </w:tc>
        <w:tc>
          <w:tcPr>
            <w:tcW w:w="5953" w:type="dxa"/>
          </w:tcPr>
          <w:p w14:paraId="5C8F1CDA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完成 3 版短版启动动画</w:t>
            </w:r>
          </w:p>
        </w:tc>
        <w:tc>
          <w:tcPr>
            <w:tcW w:w="3685" w:type="dxa"/>
          </w:tcPr>
          <w:p w14:paraId="736E359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每版 0.6–0.9 秒</w:t>
            </w:r>
          </w:p>
        </w:tc>
      </w:tr>
      <w:tr w14:paraId="322C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04C3B8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9</w:t>
            </w:r>
          </w:p>
        </w:tc>
        <w:tc>
          <w:tcPr>
            <w:tcW w:w="5953" w:type="dxa"/>
          </w:tcPr>
          <w:p w14:paraId="72B9794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输出 Motion Spec 与接入规范</w:t>
            </w:r>
          </w:p>
        </w:tc>
        <w:tc>
          <w:tcPr>
            <w:tcW w:w="3685" w:type="dxa"/>
          </w:tcPr>
          <w:p w14:paraId="109258E9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交给 Codex / 前端的规则文档</w:t>
            </w:r>
          </w:p>
        </w:tc>
      </w:tr>
      <w:tr w14:paraId="316AD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B1DFFD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10</w:t>
            </w:r>
          </w:p>
        </w:tc>
        <w:tc>
          <w:tcPr>
            <w:tcW w:w="5953" w:type="dxa"/>
          </w:tcPr>
          <w:p w14:paraId="41597AE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做浅底 / 深底 / 小尺寸 / 动画收尾验证</w:t>
            </w:r>
          </w:p>
        </w:tc>
        <w:tc>
          <w:tcPr>
            <w:tcW w:w="3685" w:type="dxa"/>
          </w:tcPr>
          <w:p w14:paraId="1A67D30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6"/>
              </w:rPr>
              <w:t>验收通过</w:t>
            </w:r>
          </w:p>
        </w:tc>
      </w:tr>
    </w:tbl>
    <w:p w14:paraId="6151A02D">
      <w:pPr>
        <w:spacing w:after="40" w:line="288" w:lineRule="auto"/>
      </w:pPr>
    </w:p>
    <w:p w14:paraId="4D464805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13. Codex / 前端接入规范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4"/>
        <w:gridCol w:w="8068"/>
      </w:tblGrid>
      <w:tr w14:paraId="04C51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FFF"/>
          </w:tcPr>
          <w:p w14:paraId="2D657696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项</w:t>
            </w:r>
          </w:p>
        </w:tc>
        <w:tc>
          <w:tcPr>
            <w:tcW w:w="8220" w:type="dxa"/>
            <w:shd w:val="clear" w:color="auto" w:fill="EDEFFF"/>
          </w:tcPr>
          <w:p w14:paraId="6F7CC586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接入要求</w:t>
            </w:r>
          </w:p>
        </w:tc>
      </w:tr>
      <w:tr w14:paraId="16211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7ABE2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冷启动</w:t>
            </w:r>
          </w:p>
        </w:tc>
        <w:tc>
          <w:tcPr>
            <w:tcW w:w="8220" w:type="dxa"/>
          </w:tcPr>
          <w:p w14:paraId="28518710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默认调用标准版完整启动动画</w:t>
            </w:r>
          </w:p>
        </w:tc>
      </w:tr>
      <w:tr w14:paraId="4B686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14FEAD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韩语环境</w:t>
            </w:r>
          </w:p>
        </w:tc>
        <w:tc>
          <w:tcPr>
            <w:tcW w:w="8220" w:type="dxa"/>
          </w:tcPr>
          <w:p w14:paraId="130FD93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根据 locale 切换为韩文版启动动画和韩文版字标</w:t>
            </w:r>
          </w:p>
        </w:tc>
      </w:tr>
      <w:tr w14:paraId="7059E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0AF242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轻量场景</w:t>
            </w:r>
          </w:p>
        </w:tc>
        <w:tc>
          <w:tcPr>
            <w:tcW w:w="8220" w:type="dxa"/>
          </w:tcPr>
          <w:p w14:paraId="4C289FC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允许使用纯图形短版动画</w:t>
            </w:r>
          </w:p>
        </w:tc>
      </w:tr>
      <w:tr w14:paraId="36A99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6DDE02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无动画降级</w:t>
            </w:r>
          </w:p>
        </w:tc>
        <w:tc>
          <w:tcPr>
            <w:tcW w:w="8220" w:type="dxa"/>
          </w:tcPr>
          <w:p w14:paraId="11DDE16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若 reduced motion 或低性能环境，则直接显示对应静态 Logo 版</w:t>
            </w:r>
          </w:p>
        </w:tc>
      </w:tr>
      <w:tr w14:paraId="4F94B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2D1B04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Logo 组件</w:t>
            </w:r>
          </w:p>
        </w:tc>
        <w:tc>
          <w:tcPr>
            <w:tcW w:w="8220" w:type="dxa"/>
          </w:tcPr>
          <w:p w14:paraId="1A9321DC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Logo 图形、文字层、颜色 token、深浅底适配应组件化，不写死成单帧资源</w:t>
            </w:r>
          </w:p>
        </w:tc>
      </w:tr>
      <w:tr w14:paraId="33B30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770D61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颜色系统</w:t>
            </w:r>
          </w:p>
        </w:tc>
        <w:tc>
          <w:tcPr>
            <w:tcW w:w="8220" w:type="dxa"/>
          </w:tcPr>
          <w:p w14:paraId="7F2E878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颜色不可被写死为单色，应保留动态渐变 / 透明度控制能力</w:t>
            </w:r>
          </w:p>
        </w:tc>
      </w:tr>
      <w:tr w14:paraId="31EFB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7AC599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性能</w:t>
            </w:r>
          </w:p>
        </w:tc>
        <w:tc>
          <w:tcPr>
            <w:tcW w:w="8220" w:type="dxa"/>
          </w:tcPr>
          <w:p w14:paraId="1931EBA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启动动画不能阻断进入速度；网络数据加载与动画解耦</w:t>
            </w:r>
          </w:p>
        </w:tc>
      </w:tr>
      <w:tr w14:paraId="3A9A9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9C4EC2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工程边界</w:t>
            </w:r>
          </w:p>
        </w:tc>
        <w:tc>
          <w:tcPr>
            <w:tcW w:w="8220" w:type="dxa"/>
          </w:tcPr>
          <w:p w14:paraId="47994025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前端只接入豆包交付的品牌资产与动画，不自行改造品牌哲学和造型</w:t>
            </w:r>
          </w:p>
        </w:tc>
      </w:tr>
    </w:tbl>
    <w:p w14:paraId="682393DB">
      <w:pPr>
        <w:spacing w:after="40" w:line="288" w:lineRule="auto"/>
      </w:pPr>
    </w:p>
    <w:p w14:paraId="40514F12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14. 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2"/>
        <w:gridCol w:w="7960"/>
      </w:tblGrid>
      <w:tr w14:paraId="1103E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DEFFF"/>
          </w:tcPr>
          <w:p w14:paraId="01C38C4C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维度</w:t>
            </w:r>
          </w:p>
        </w:tc>
        <w:tc>
          <w:tcPr>
            <w:tcW w:w="8107" w:type="dxa"/>
            <w:shd w:val="clear" w:color="auto" w:fill="EDEFFF"/>
          </w:tcPr>
          <w:p w14:paraId="5EB1C7A4">
            <w:pPr>
              <w:spacing w:after="0" w:line="240" w:lineRule="auto"/>
            </w:pPr>
            <w:r>
              <w:rPr>
                <w:rFonts w:ascii="Inter" w:hAnsi="Inter" w:eastAsia="Noto Sans CJK SC"/>
                <w:b/>
                <w:color w:val="202844"/>
                <w:sz w:val="17"/>
              </w:rPr>
              <w:t>通过标准</w:t>
            </w:r>
          </w:p>
        </w:tc>
      </w:tr>
      <w:tr w14:paraId="7A8DE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0F169DC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哲学表达</w:t>
            </w:r>
          </w:p>
        </w:tc>
        <w:tc>
          <w:tcPr>
            <w:tcW w:w="8107" w:type="dxa"/>
          </w:tcPr>
          <w:p w14:paraId="3D290B62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能明确看出“由小入大，再归于一”的品牌逻辑</w:t>
            </w:r>
          </w:p>
        </w:tc>
      </w:tr>
      <w:tr w14:paraId="3119A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39879082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品牌质感</w:t>
            </w:r>
          </w:p>
        </w:tc>
        <w:tc>
          <w:tcPr>
            <w:tcW w:w="8107" w:type="dxa"/>
          </w:tcPr>
          <w:p w14:paraId="5CE2CEE9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高级、冷静、通透、未来，不像普通海洋品牌</w:t>
            </w:r>
          </w:p>
        </w:tc>
      </w:tr>
      <w:tr w14:paraId="1923B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1D303E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三版完整性</w:t>
            </w:r>
          </w:p>
        </w:tc>
        <w:tc>
          <w:tcPr>
            <w:tcW w:w="8107" w:type="dxa"/>
          </w:tcPr>
          <w:p w14:paraId="01180D46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标准版 / 韩文版 / 纯图形版全部齐全</w:t>
            </w:r>
          </w:p>
        </w:tc>
      </w:tr>
      <w:tr w14:paraId="18850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7503FBCE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字体完成度</w:t>
            </w:r>
          </w:p>
        </w:tc>
        <w:tc>
          <w:tcPr>
            <w:tcW w:w="8107" w:type="dxa"/>
          </w:tcPr>
          <w:p w14:paraId="4AA31099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中文、英文、韩文三套字标各自成立且同属一个家族</w:t>
            </w:r>
          </w:p>
        </w:tc>
      </w:tr>
      <w:tr w14:paraId="72F89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6B7B8AF7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识别度</w:t>
            </w:r>
          </w:p>
        </w:tc>
        <w:tc>
          <w:tcPr>
            <w:tcW w:w="8107" w:type="dxa"/>
          </w:tcPr>
          <w:p w14:paraId="13A33F4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纯图形版可独立成立，小尺寸仍可识别</w:t>
            </w:r>
          </w:p>
        </w:tc>
      </w:tr>
      <w:tr w14:paraId="297C5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F554DE1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动画节奏</w:t>
            </w:r>
          </w:p>
        </w:tc>
        <w:tc>
          <w:tcPr>
            <w:tcW w:w="8107" w:type="dxa"/>
          </w:tcPr>
          <w:p w14:paraId="4A739443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2 秒级完成，不拖沓、不无聊</w:t>
            </w:r>
          </w:p>
        </w:tc>
      </w:tr>
      <w:tr w14:paraId="6A49C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05775D99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工程可接入</w:t>
            </w:r>
          </w:p>
        </w:tc>
        <w:tc>
          <w:tcPr>
            <w:tcW w:w="8107" w:type="dxa"/>
          </w:tcPr>
          <w:p w14:paraId="26BC3B04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有规范、有版本、有静态与动态资产，不只是视频预览</w:t>
            </w:r>
          </w:p>
        </w:tc>
      </w:tr>
      <w:tr w14:paraId="5562D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0D0D81FB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延展性</w:t>
            </w:r>
          </w:p>
        </w:tc>
        <w:tc>
          <w:tcPr>
            <w:tcW w:w="8107" w:type="dxa"/>
          </w:tcPr>
          <w:p w14:paraId="76BC3602">
            <w:pPr>
              <w:spacing w:after="0" w:line="240" w:lineRule="auto"/>
            </w:pPr>
            <w:r>
              <w:rPr>
                <w:rFonts w:ascii="Inter" w:hAnsi="Inter" w:eastAsia="Noto Sans CJK SC"/>
                <w:b w:val="0"/>
                <w:sz w:val="17"/>
              </w:rPr>
              <w:t>未来可扩展到整个生态系统，而不需要重做品牌母结构</w:t>
            </w:r>
          </w:p>
        </w:tc>
      </w:tr>
    </w:tbl>
    <w:p w14:paraId="57CCBF69">
      <w:pPr>
        <w:spacing w:after="40" w:line="288" w:lineRule="auto"/>
      </w:pPr>
    </w:p>
    <w:p w14:paraId="083E736F">
      <w:pPr>
        <w:spacing w:before="160" w:after="80"/>
      </w:pPr>
      <w:r>
        <w:rPr>
          <w:rFonts w:ascii="Inter" w:hAnsi="Inter" w:eastAsia="Noto Sans CJK SC"/>
          <w:b/>
          <w:color w:val="1C233E"/>
          <w:sz w:val="36"/>
        </w:rPr>
        <w:t>15. 最终一句话定版</w:t>
      </w:r>
    </w:p>
    <w:p w14:paraId="13C33B66">
      <w:pPr>
        <w:spacing w:after="80" w:line="288" w:lineRule="auto"/>
      </w:pPr>
      <w:r>
        <w:rPr>
          <w:rFonts w:ascii="Inter" w:hAnsi="Inter" w:eastAsia="Noto Sans CJK SC"/>
          <w:b w:val="0"/>
          <w:sz w:val="21"/>
        </w:rPr>
        <w:t>请将序境 / LUMENIS 的品牌 Logo 设计为一个“抽象液态光滴中容纳海平面世界”的高质感符号；并以“水滴出现—下落—触海—海面展开—世界成形—再度收束—定格为 Logo”的 2.1 秒启动动画作为品牌进入页体验核心。</w:t>
      </w:r>
    </w:p>
    <w:p w14:paraId="4939E060">
      <w:pPr>
        <w:spacing w:after="80" w:line="288" w:lineRule="auto"/>
      </w:pPr>
      <w:r>
        <w:rPr>
          <w:rFonts w:ascii="Inter" w:hAnsi="Inter" w:eastAsia="Noto Sans CJK SC"/>
          <w:b/>
          <w:sz w:val="21"/>
        </w:rPr>
        <w:t>三套正式版本固定为：</w:t>
      </w:r>
    </w:p>
    <w:p w14:paraId="1FA76B79">
      <w:pPr>
        <w:pStyle w:val="16"/>
        <w:spacing w:after="40"/>
      </w:pPr>
      <w:r>
        <w:rPr>
          <w:rFonts w:ascii="Inter" w:hAnsi="Inter" w:eastAsia="Noto Sans CJK SC"/>
          <w:b w:val="0"/>
          <w:sz w:val="20"/>
        </w:rPr>
        <w:t>标准版：Logo 图形 + 中文“序境” + 英文“LUMENIS”</w:t>
      </w:r>
    </w:p>
    <w:p w14:paraId="67B4F590">
      <w:pPr>
        <w:pStyle w:val="16"/>
        <w:spacing w:after="40"/>
      </w:pPr>
      <w:r>
        <w:rPr>
          <w:rFonts w:ascii="Inter" w:hAnsi="Inter" w:eastAsia="Noto Sans CJK SC"/>
          <w:b w:val="0"/>
          <w:sz w:val="20"/>
        </w:rPr>
        <w:t>韩文版：Logo 图形 + 韩文字标</w:t>
      </w:r>
    </w:p>
    <w:p w14:paraId="3397EE90">
      <w:pPr>
        <w:pStyle w:val="16"/>
        <w:spacing w:after="40"/>
      </w:pPr>
      <w:r>
        <w:rPr>
          <w:rFonts w:ascii="Inter" w:hAnsi="Inter" w:eastAsia="Noto Sans CJK SC"/>
          <w:b w:val="0"/>
          <w:sz w:val="20"/>
        </w:rPr>
        <w:t>纯图形版：仅 Logo 图形，无文字</w:t>
      </w:r>
    </w:p>
    <w:p w14:paraId="2EAE253E">
      <w:pPr>
        <w:spacing w:after="80" w:line="288" w:lineRule="auto"/>
      </w:pPr>
      <w:r>
        <w:rPr>
          <w:rFonts w:ascii="Inter" w:hAnsi="Inter" w:eastAsia="Noto Sans CJK SC"/>
          <w:b w:val="0"/>
          <w:sz w:val="21"/>
        </w:rPr>
        <w:t>对应启动动画也必须同步产出三版。</w:t>
      </w:r>
    </w:p>
    <w:sectPr>
      <w:pgSz w:w="12240" w:h="15840"/>
      <w:pgMar w:top="1020" w:right="1077" w:bottom="1020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Inter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48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632</Words>
  <Characters>745</Characters>
  <Lines>0</Lines>
  <Paragraphs>0</Paragraphs>
  <TotalTime>0</TotalTime>
  <ScaleCrop>false</ScaleCrop>
  <LinksUpToDate>false</LinksUpToDate>
  <CharactersWithSpaces>801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Zachary</cp:lastModifiedBy>
  <dcterms:modified xsi:type="dcterms:W3CDTF">2026-09-10T17:11:04Z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C22C390E9E83454DAA57E0EBFE4017F2_13</vt:lpwstr>
  </property>
</Properties>
</file>