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 w:line="278" w:lineRule="auto"/>
      </w:pPr>
    </w:p>
    <w:p>
      <w:pPr>
        <w:spacing w:before="0" w:after="80" w:line="278" w:lineRule="auto"/>
        <w:jc w:val="center"/>
      </w:pPr>
      <w:r>
        <w:rPr>
          <w:rFonts w:ascii="Times New Roman" w:hAnsi="Times New Roman" w:eastAsia="Noto Serif CJK SC"/>
          <w:b/>
          <w:color w:val="1D222A"/>
          <w:sz w:val="56"/>
        </w:rPr>
        <w:t>序境 / LUMENIS</w:t>
      </w:r>
    </w:p>
    <w:p>
      <w:pPr>
        <w:spacing w:before="0" w:after="80" w:line="278" w:lineRule="auto"/>
        <w:jc w:val="center"/>
      </w:pPr>
      <w:r>
        <w:rPr>
          <w:rFonts w:ascii="Arial" w:hAnsi="Arial" w:eastAsia="Noto Sans CJK SC"/>
          <w:b/>
          <w:color w:val="2A303C"/>
          <w:sz w:val="40"/>
        </w:rPr>
        <w:t>品牌生态与产品语言 · 增量研究方案 V1</w:t>
      </w:r>
    </w:p>
    <w:p>
      <w:pPr>
        <w:spacing w:before="0" w:after="80" w:line="278" w:lineRule="auto"/>
        <w:jc w:val="center"/>
      </w:pPr>
      <w:r>
        <w:rPr>
          <w:rFonts w:ascii="Arial" w:hAnsi="Arial" w:eastAsia="Noto Sans CJK SC"/>
          <w:b w:val="0"/>
          <w:color w:val="6E7480"/>
          <w:sz w:val="23"/>
        </w:rPr>
        <w:t>Brand Ecosystem &amp; Product Language — Incremental Research</w:t>
      </w:r>
    </w:p>
    <w:p>
      <w:pPr>
        <w:spacing w:before="280" w:after="80" w:line="278" w:lineRule="auto"/>
        <w:jc w:val="center"/>
      </w:pPr>
      <w:r>
        <w:rPr>
          <w:rFonts w:ascii="Arial" w:hAnsi="Arial" w:eastAsia="Noto Sans CJK SC"/>
          <w:b/>
          <w:color w:val="464C56"/>
          <w:sz w:val="22"/>
        </w:rPr>
        <w:t>定位：仅做增量研究，不推翻现有产品架构与功能。</w:t>
      </w:r>
    </w:p>
    <w:p>
      <w:pPr>
        <w:spacing w:before="0" w:after="80" w:line="278" w:lineRule="auto"/>
        <w:jc w:val="center"/>
      </w:pPr>
      <w:r>
        <w:rPr>
          <w:rFonts w:ascii="Arial" w:hAnsi="Arial" w:eastAsia="Noto Sans CJK SC"/>
          <w:b w:val="0"/>
          <w:color w:val="525863"/>
          <w:sz w:val="21"/>
        </w:rPr>
        <w:t>目标：让 LUMENIS 不再被看成传统 SaaS，而是逐步形成可识别、可传播、可延展的独立产品语言与生态符号。</w:t>
      </w:r>
    </w:p>
    <w:p>
      <w:pPr>
        <w:spacing w:before="0" w:after="80" w:line="278" w:lineRule="auto"/>
        <w:jc w:val="center"/>
      </w:pPr>
      <w:r>
        <w:rPr>
          <w:rFonts w:ascii="Arial" w:hAnsi="Arial" w:eastAsia="Noto Sans CJK SC"/>
          <w:b w:val="0"/>
          <w:color w:val="696E79"/>
          <w:sz w:val="19"/>
        </w:rPr>
        <w:t>重点作用对象：产品图标、壁纸/背景、品牌图形、AI 视觉、Evidence 关系视觉、数据图形、UI 动效、报告与分享资产。</w:t>
      </w:r>
    </w:p>
    <w:p>
      <w:r>
        <w:br w:type="page"/>
      </w:r>
    </w:p>
    <w:p>
      <w:pPr>
        <w:spacing w:before="180" w:after="80"/>
      </w:pPr>
      <w:r>
        <w:rPr>
          <w:rFonts w:ascii="Times New Roman" w:hAnsi="Times New Roman" w:eastAsia="Noto Serif CJK SC"/>
          <w:b/>
          <w:color w:val="1C2129"/>
          <w:sz w:val="36"/>
        </w:rPr>
        <w:t>1. 研究目的</w:t>
      </w:r>
    </w:p>
    <w:p>
      <w:pPr>
        <w:spacing w:before="0" w:after="80" w:line="278" w:lineRule="auto"/>
      </w:pPr>
      <w:r>
        <w:rPr>
          <w:rFonts w:ascii="Arial" w:hAnsi="Arial" w:eastAsia="Noto Sans CJK SC"/>
          <w:b w:val="0"/>
          <w:color w:val="2D323A"/>
          <w:sz w:val="21"/>
        </w:rPr>
        <w:t>这份文件不是新的 UI 总方案，也不是要求豆包重新做 44 个页面。它只回答一件事：外部真正拥有“自己生态与传播符号”的品牌，哪些机制值得 LUMENIS 学习，以及这些机制应该具体落到序境的哪些视觉资产和产品界面中。</w:t>
      </w:r>
    </w:p>
    <w:p>
      <w:pPr>
        <w:spacing w:before="0" w:after="80" w:line="278" w:lineRule="auto"/>
      </w:pPr>
      <w:r>
        <w:rPr>
          <w:rFonts w:ascii="Arial" w:hAnsi="Arial" w:eastAsia="Noto Sans CJK SC"/>
          <w:b w:val="0"/>
          <w:color w:val="2D323A"/>
          <w:sz w:val="21"/>
        </w:rPr>
        <w:t>核心标准不是“更潮”或“更贵”，而是：用户即使看不到 Logo，也能从图标、背景、空间关系、状态表达和动效节奏判断——这是 LUMENIS。</w:t>
      </w:r>
    </w:p>
    <w:p>
      <w:pPr>
        <w:spacing w:before="180" w:after="80"/>
      </w:pPr>
      <w:r>
        <w:rPr>
          <w:rFonts w:ascii="Times New Roman" w:hAnsi="Times New Roman" w:eastAsia="Noto Serif CJK SC"/>
          <w:b/>
          <w:color w:val="1C2129"/>
          <w:sz w:val="36"/>
        </w:rPr>
        <w:t>2. 品牌研究对照表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361"/>
            <w:shd w:fill="EEF1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E232C"/>
                <w:sz w:val="15"/>
              </w:rPr>
              <w:t>品牌</w:t>
            </w:r>
          </w:p>
        </w:tc>
        <w:tc>
          <w:tcPr>
            <w:tcW w:type="dxa" w:w="3118"/>
            <w:shd w:fill="EEF1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E232C"/>
                <w:sz w:val="15"/>
              </w:rPr>
              <w:t>值得吸收的机制</w:t>
            </w:r>
          </w:p>
        </w:tc>
        <w:tc>
          <w:tcPr>
            <w:tcW w:type="dxa" w:w="3458"/>
            <w:shd w:fill="EEF1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E232C"/>
                <w:sz w:val="15"/>
              </w:rPr>
              <w:t>对 LUMENIS 的增量意义</w:t>
            </w:r>
          </w:p>
        </w:tc>
        <w:tc>
          <w:tcPr>
            <w:tcW w:type="dxa" w:w="2268"/>
            <w:shd w:fill="EEF1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E232C"/>
                <w:sz w:val="15"/>
              </w:rPr>
              <w:t>优先应用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Apple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跨设备保持一致的层级、比例、交互与 Motion；视觉语言和操作语言是一体的，不靠装饰证明品牌。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建立跨 Web / APP / 报告 / 导出 / AI 的同一套形状、层级与交互语法。</w:t>
            </w:r>
          </w:p>
        </w:tc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全局布局、导航、Modal/Sheet、响应式、Reduced Motion、状态反馈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Tesla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界面持续表达真实机器状态；UI 与实时状态、控制和系统演进深度绑定，不是静态后台。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把 Collector、Runtime、Evidence、Agent Task、风险/权限等做成真实“系统状态语言”。</w:t>
            </w:r>
          </w:p>
        </w:tc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系统页、Runtime、任务状态、实时监控、状态图标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Nothing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Glyph 不是装饰，而是跨设备的光/声音/振动沟通语言；品牌符号直接承担功能表达。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让 Point / Axis / Boundary / Trace 成为跨界面的传播符号，而不是只存在 Logo 中。</w:t>
            </w:r>
          </w:p>
        </w:tc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图标、壁纸、通知、状态符号、移动端、启动/过渡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GitHub / Primer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品牌和产品各有系统，但共享明确语言；Motion 有 Facilitate / Engage / Impact 三类目的。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品牌、产品、技术文档、演示资产必须能看出同一体系；每个动效必须有业务理由。</w:t>
            </w:r>
          </w:p>
        </w:tc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设计系统、Motion、图标、帮助中心、分享/演示资产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IBM Carbon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复杂企业产品通过 Token、组件、可视化、A11y、工程规则长期保持统一。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把 LUMENIS 的独特性写进 Token、Icon、DataViz、Motion 和组件规则，而不是只停留在概念图。</w:t>
            </w:r>
          </w:p>
        </w:tc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Design Tokens、组件、数据可视化、A11y、工程规范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Toss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强调模式化、极强可用性、统一体验；设计系统服务整个生态，不只服务一个页面。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让不同模块有不同气质，但控件、状态、反馈、文案层级保持系统一致。</w:t>
            </w:r>
          </w:p>
        </w:tc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基础组件、移动端、表单、反馈、状态体系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Gentle Monster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门店/展览就是品牌世界；依靠尺度、材质、轮廓和非对称建立传播性，而不是普通商业空间。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主域背景和壁纸应像“进入一个境”，同一世界观下形成不同场域，而不是通用科技渐变。</w:t>
            </w:r>
          </w:p>
        </w:tc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壁纸、登录/启动、专题页、品牌市场、官网、大屏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Tamburins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把看不见的气味翻译成空间、装置、声音与叙事，让抽象价值变成感官记忆。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把 Evidence、Context、Insight 这些抽象对象转译成可感知视觉，而不只用表格呈现。</w:t>
            </w:r>
          </w:p>
        </w:tc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Evidence 视觉、空状态、AI 结果、专题体验、报告封面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ADERERROR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Post-Minimal + Unexpected Experience；整体克制，但保留一个刻意偏移、尺度异常或意外关系。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每个一级 Workspace 最多一个 Intentional Deviation，形成记忆点但不破坏专业效率。</w:t>
            </w:r>
          </w:p>
        </w:tc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概览页、Campaign、品牌页、视觉资产、高光动效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29CM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把 Commerce 做成 Editorial；叙事层和商品/元数据层共存，不把所有内容压成同一种卡片。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CTH/BMP/Content 使用“叙事层 + 事实层”双密度体系，减少统一 Dashboard 感。</w:t>
            </w:r>
          </w:p>
        </w:tc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BMP、Content、报告、案例库、专题页、主标题层级</w:t>
            </w:r>
          </w:p>
        </w:tc>
      </w:tr>
      <w:tr>
        <w:tc>
          <w:tcPr>
            <w:tcW w:type="dxa" w:w="13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Teenage Engineering</w:t>
            </w:r>
          </w:p>
        </w:tc>
        <w:tc>
          <w:tcPr>
            <w:tcW w:type="dxa" w:w="311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颜色、图形、控制器与功能直接映射；品牌感来自操作方式本身，而不是表面贴图。</w:t>
            </w:r>
          </w:p>
        </w:tc>
        <w:tc>
          <w:tcPr>
            <w:tcW w:type="dxa" w:w="34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图标、颜色和形状必须承担状态/控制意义；激活、选择、追溯、风险都有结构语义。</w:t>
            </w:r>
          </w:p>
        </w:tc>
        <w:tc>
          <w:tcPr>
            <w:tcW w:type="dxa" w:w="2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5"/>
              </w:rPr>
              <w:t>Icon Family、状态控件、DataViz、AI 工具条、系统页</w:t>
            </w:r>
          </w:p>
        </w:tc>
      </w:tr>
    </w:tbl>
    <w:p>
      <w:pPr>
        <w:spacing w:before="0" w:after="20" w:line="278" w:lineRule="auto"/>
      </w:pPr>
    </w:p>
    <w:p>
      <w:pPr>
        <w:spacing w:before="180" w:after="80"/>
      </w:pPr>
      <w:r>
        <w:rPr>
          <w:rFonts w:ascii="Times New Roman" w:hAnsi="Times New Roman" w:eastAsia="Noto Serif CJK SC"/>
          <w:b/>
          <w:color w:val="1C2129"/>
          <w:sz w:val="36"/>
        </w:rPr>
        <w:t>3. 对 LUMENIS 最应该修改的地方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587"/>
            <w:shd w:fill="EEF1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E232C"/>
                <w:sz w:val="16"/>
              </w:rPr>
              <w:t>对象</w:t>
            </w:r>
          </w:p>
        </w:tc>
        <w:tc>
          <w:tcPr>
            <w:tcW w:type="dxa" w:w="4025"/>
            <w:shd w:fill="EEF1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E232C"/>
                <w:sz w:val="16"/>
              </w:rPr>
              <w:t>增量要求</w:t>
            </w:r>
          </w:p>
        </w:tc>
        <w:tc>
          <w:tcPr>
            <w:tcW w:type="dxa" w:w="2381"/>
            <w:shd w:fill="EEF1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E232C"/>
                <w:sz w:val="16"/>
              </w:rPr>
              <w:t>研究来源</w:t>
            </w:r>
          </w:p>
        </w:tc>
        <w:tc>
          <w:tcPr>
            <w:tcW w:type="dxa" w:w="2381"/>
            <w:shd w:fill="EEF1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E232C"/>
                <w:sz w:val="16"/>
              </w:rPr>
              <w:t>目标</w:t>
            </w:r>
          </w:p>
        </w:tc>
      </w:tr>
      <w:t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壁纸 / 主背景</w:t>
            </w:r>
          </w:p>
        </w:tc>
        <w:tc>
          <w:tcPr>
            <w:tcW w:type="dxa" w:w="402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不要再使用通用 AI 星云、普通渐变或纯装饰光效。背景应从“境”出发：大留白、轴线、边界、层、微点、局部尺度异常。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Gentle Monster / Tamburins / ADERERROR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形成同一世界观下的 CTH / BMP / AI / Shared 四种场域。</w:t>
            </w:r>
          </w:p>
        </w:tc>
      </w:tr>
      <w:t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产品图标</w:t>
            </w:r>
          </w:p>
        </w:tc>
        <w:tc>
          <w:tcPr>
            <w:tcW w:type="dxa" w:w="402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建立原创 Icon Family。核心对象图标要保留一个可识别的 Point、Boundary break 或 Trace node；普通动作图标保持清楚。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Nothing / Teenage Engineering / GitHub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让图标本身成为传播符号，而不是再用一套常见 SaaS icon。</w:t>
            </w:r>
          </w:p>
        </w:tc>
      </w:tr>
      <w:t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AI 视觉</w:t>
            </w:r>
          </w:p>
        </w:tc>
        <w:tc>
          <w:tcPr>
            <w:tcW w:type="dxa" w:w="402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从通用 Orb / Aurora / Galaxy 收敛为 Lumen Core：点 + 轴 + 两侧边界 + 状态密度。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Nothing / Apple / Teenage Engineering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AI 视觉必须解释状态，不能只是永远发光的装饰球。</w:t>
            </w:r>
          </w:p>
        </w:tc>
      </w:tr>
      <w:t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Evidence 关系</w:t>
            </w:r>
          </w:p>
        </w:tc>
        <w:tc>
          <w:tcPr>
            <w:tcW w:type="dxa" w:w="402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把 Claim → Evidence → Source 变成可见 Trace；选中时出现极细 Icy Cyan 路径与节点。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Tesla / GitHub / Tamburins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建立序境最有业务价值的独特图形语言。</w:t>
            </w:r>
          </w:p>
        </w:tc>
      </w:tr>
      <w:t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卡片 / Surface</w:t>
            </w:r>
          </w:p>
        </w:tc>
        <w:tc>
          <w:tcPr>
            <w:tcW w:type="dxa" w:w="402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减少“每件事都套卡片”。优先用轴线、边界、留白、信息层和 Trace 建立关系。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Apple / 29CM / Toss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从 Card System 向 Field System 过渡，避免传统 SaaS Dashboard 感。</w:t>
            </w:r>
          </w:p>
        </w:tc>
      </w:tr>
      <w:t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UI 动效</w:t>
            </w:r>
          </w:p>
        </w:tc>
        <w:tc>
          <w:tcPr>
            <w:tcW w:type="dxa" w:w="402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统一为品牌动词，而不是单纯 Fade/Slide/Scale：Touch / Open / Trace / Shift / Settle / Return。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GitHub / Apple / Nothing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无 Logo 的短视频也应该能看出是 LUMENIS。</w:t>
            </w:r>
          </w:p>
        </w:tc>
      </w:tr>
      <w:tr>
        <w:tc>
          <w:tcPr>
            <w:tcW w:type="dxa" w:w="15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报告 / 分享资产</w:t>
            </w:r>
          </w:p>
        </w:tc>
        <w:tc>
          <w:tcPr>
            <w:tcW w:type="dxa" w:w="402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让 Point、Axis、Boundary、Trace 进入报告封面、导出图、社媒分享卡、演示。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GitHub / Gentle Monster / Nothing</w:t>
            </w:r>
          </w:p>
        </w:tc>
        <w:tc>
          <w:tcPr>
            <w:tcW w:type="dxa" w:w="238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传播端不另做一套海报风，直接继承产品语言。</w:t>
            </w:r>
          </w:p>
        </w:tc>
      </w:tr>
    </w:tbl>
    <w:p>
      <w:pPr>
        <w:spacing w:before="0" w:after="20" w:line="278" w:lineRule="auto"/>
      </w:pPr>
    </w:p>
    <w:p>
      <w:pPr>
        <w:spacing w:before="180" w:after="80"/>
      </w:pPr>
      <w:r>
        <w:rPr>
          <w:rFonts w:ascii="Times New Roman" w:hAnsi="Times New Roman" w:eastAsia="Noto Serif CJK SC"/>
          <w:b/>
          <w:color w:val="1C2129"/>
          <w:sz w:val="36"/>
        </w:rPr>
        <w:t>4. 建议固化成 LUMENIS 的 6 个传播原语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57"/>
            <w:shd w:fill="EEF1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E232C"/>
                <w:sz w:val="16"/>
              </w:rPr>
              <w:t>原语</w:t>
            </w:r>
          </w:p>
        </w:tc>
        <w:tc>
          <w:tcPr>
            <w:tcW w:type="dxa" w:w="2948"/>
            <w:shd w:fill="EEF1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E232C"/>
                <w:sz w:val="16"/>
              </w:rPr>
              <w:t>含义</w:t>
            </w:r>
          </w:p>
        </w:tc>
        <w:tc>
          <w:tcPr>
            <w:tcW w:type="dxa" w:w="2948"/>
            <w:shd w:fill="EEF1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E232C"/>
                <w:sz w:val="16"/>
              </w:rPr>
              <w:t>静态表达</w:t>
            </w:r>
          </w:p>
        </w:tc>
        <w:tc>
          <w:tcPr>
            <w:tcW w:type="dxa" w:w="2835"/>
            <w:shd w:fill="EEF1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E232C"/>
                <w:sz w:val="16"/>
              </w:rPr>
              <w:t>动态表达</w:t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Point · 点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最小真实对象：Evidence / Event / Metric / Subject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节点、选择点、来源点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出现、触界、归点</w:t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Axis · 序轴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Context / Time / Workflow 的秩序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细轴、主对齐线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上下文切换时收束再展开</w:t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Boundary · 界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Scope / Permission / Selection / Context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开放边界、括号、局部轮廓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触界、开境、闭合</w:t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Strata · 层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L0–L3 信息深度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空间层级、留白、材质递进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进入 Detail 时保持来源连续性</w:t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Trace · 迹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Claim → Evidence → Source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极细银线 / Icy active path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从结论画到证据，完成后淡回</w:t>
            </w:r>
          </w:p>
        </w:tc>
      </w:tr>
      <w:tr>
        <w:tc>
          <w:tcPr>
            <w:tcW w:type="dxa" w:w="17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Return · 归点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完成 / 收束 / 回到来源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中心节点/来源标记</w:t>
            </w:r>
          </w:p>
        </w:tc>
        <w:tc>
          <w:tcPr>
            <w:tcW w:type="dxa" w:w="283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Workspace 或 Artifact 收回来源点</w:t>
            </w:r>
          </w:p>
        </w:tc>
      </w:tr>
    </w:tbl>
    <w:p>
      <w:pPr>
        <w:spacing w:before="0" w:after="20" w:line="278" w:lineRule="auto"/>
      </w:pPr>
    </w:p>
    <w:p>
      <w:pPr>
        <w:spacing w:before="180" w:after="80"/>
      </w:pPr>
      <w:r>
        <w:rPr>
          <w:rFonts w:ascii="Times New Roman" w:hAnsi="Times New Roman" w:eastAsia="Noto Serif CJK SC"/>
          <w:b/>
          <w:color w:val="1C2129"/>
          <w:sz w:val="36"/>
        </w:rPr>
        <w:t>5. 四个产品区域：同一种语言，不同方言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01"/>
            <w:shd w:fill="EEF1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E232C"/>
                <w:sz w:val="16"/>
              </w:rPr>
              <w:t>区域</w:t>
            </w:r>
          </w:p>
        </w:tc>
        <w:tc>
          <w:tcPr>
            <w:tcW w:type="dxa" w:w="2891"/>
            <w:shd w:fill="EEF1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E232C"/>
                <w:sz w:val="16"/>
              </w:rPr>
              <w:t>视觉方言</w:t>
            </w:r>
          </w:p>
        </w:tc>
        <w:tc>
          <w:tcPr>
            <w:tcW w:type="dxa" w:w="3005"/>
            <w:shd w:fill="EEF1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E232C"/>
                <w:sz w:val="16"/>
              </w:rPr>
              <w:t>背景/壁纸方向</w:t>
            </w:r>
          </w:p>
        </w:tc>
        <w:tc>
          <w:tcPr>
            <w:tcW w:type="dxa" w:w="2948"/>
            <w:shd w:fill="EEF1F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Noto Sans CJK SC"/>
                <w:b/>
                <w:color w:val="1E232C"/>
                <w:sz w:val="16"/>
              </w:rPr>
              <w:t>核心传播特征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CTH 商业运营</w:t>
            </w:r>
          </w:p>
        </w:tc>
        <w:tc>
          <w:tcPr>
            <w:tcW w:type="dxa" w:w="28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Operational Realm：更密、更强秩序、更强调 Trace</w:t>
            </w:r>
          </w:p>
        </w:tc>
        <w:tc>
          <w:tcPr>
            <w:tcW w:type="dxa" w:w="3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秩序网格 + Evidence Trace + 极少光学材质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事实 → 证据 → 行动的路径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BMP 品牌市场</w:t>
            </w:r>
          </w:p>
        </w:tc>
        <w:tc>
          <w:tcPr>
            <w:tcW w:type="dxa" w:w="28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Editorial Realm：更大留白、媒体与叙事权重更高</w:t>
            </w:r>
          </w:p>
        </w:tc>
        <w:tc>
          <w:tcPr>
            <w:tcW w:type="dxa" w:w="3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开放版式 + 局部大尺度图形 + 边界切割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编辑感与市场文化感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AI</w:t>
            </w:r>
          </w:p>
        </w:tc>
        <w:tc>
          <w:tcPr>
            <w:tcW w:type="dxa" w:w="28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Intent Realm：意图、状态、Artifact 转化更明显</w:t>
            </w:r>
          </w:p>
        </w:tc>
        <w:tc>
          <w:tcPr>
            <w:tcW w:type="dxa" w:w="3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Lumen Core + 状态密度 + 轻边界开合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从意图到任务到 Artifact 的连续变化</w:t>
            </w:r>
          </w:p>
        </w:tc>
      </w:tr>
      <w:tr>
        <w:tc>
          <w:tcPr>
            <w:tcW w:type="dxa" w:w="170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Shared Content</w:t>
            </w:r>
          </w:p>
        </w:tc>
        <w:tc>
          <w:tcPr>
            <w:tcW w:type="dxa" w:w="28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Studio Realm：内容为主舞台，工具退后</w:t>
            </w:r>
          </w:p>
        </w:tc>
        <w:tc>
          <w:tcPr>
            <w:tcW w:type="dxa" w:w="3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近白场 + 局部编辑线 + Evidence 随叫随到</w:t>
            </w:r>
          </w:p>
        </w:tc>
        <w:tc>
          <w:tcPr>
            <w:tcW w:type="dxa" w:w="29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Noto Sans CJK SC"/>
                <w:b w:val="0"/>
                <w:color w:val="323741"/>
                <w:sz w:val="16"/>
              </w:rPr>
              <w:t>创作与 Evidence 同场而不干扰</w:t>
            </w:r>
          </w:p>
        </w:tc>
      </w:tr>
    </w:tbl>
    <w:p>
      <w:pPr>
        <w:spacing w:before="0" w:after="20" w:line="278" w:lineRule="auto"/>
      </w:pPr>
    </w:p>
    <w:p>
      <w:pPr>
        <w:spacing w:before="180" w:after="80"/>
      </w:pPr>
      <w:r>
        <w:rPr>
          <w:rFonts w:ascii="Times New Roman" w:hAnsi="Times New Roman" w:eastAsia="Noto Serif CJK SC"/>
          <w:b/>
          <w:color w:val="1C2129"/>
          <w:sz w:val="36"/>
        </w:rPr>
        <w:t>6. 最终增量原则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color w:val="343A43"/>
          <w:sz w:val="20"/>
        </w:rPr>
        <w:t>不要求推翻正在进行中的豆包版本；这一轮只负责把“品牌机制”加到资产层和体验层。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color w:val="343A43"/>
          <w:sz w:val="20"/>
        </w:rPr>
        <w:t>外部品牌只学机制，不复制现成 UI、壁纸、Icon、Shader、Motion、SVG 或商业视觉组合。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color w:val="343A43"/>
          <w:sz w:val="20"/>
        </w:rPr>
        <w:t>独特性优先从产品真实逻辑中长出来：Evidence、Context、Boundary、Trace、Decision、Action。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color w:val="343A43"/>
          <w:sz w:val="20"/>
        </w:rPr>
        <w:t>最终验收标准不是“像某个品牌”，而是“离开 Logo 后仍然可识别为 LUMENIS”。</w:t>
      </w:r>
    </w:p>
    <w:p>
      <w:pPr>
        <w:pStyle w:val="ListBullet"/>
        <w:spacing w:after="40"/>
      </w:pPr>
      <w:r>
        <w:rPr>
          <w:rFonts w:ascii="Arial" w:hAnsi="Arial" w:eastAsia="Noto Sans CJK SC"/>
          <w:b w:val="0"/>
          <w:color w:val="343A43"/>
          <w:sz w:val="20"/>
        </w:rPr>
        <w:t>先改资产层：图标、壁纸/背景、AI Core、Evidence 关系、空状态、分享/报告；再由这些资产反向统一 UI。</w:t>
      </w:r>
    </w:p>
    <w:p>
      <w:pPr>
        <w:spacing w:before="180" w:after="80"/>
      </w:pPr>
      <w:r>
        <w:rPr>
          <w:rFonts w:ascii="Times New Roman" w:hAnsi="Times New Roman" w:eastAsia="Noto Serif CJK SC"/>
          <w:b/>
          <w:color w:val="1C2129"/>
          <w:sz w:val="36"/>
        </w:rPr>
        <w:t>7. 研究来源（用于学习，不作为生产资产来源）</w:t>
      </w:r>
    </w:p>
    <w:p>
      <w:pPr>
        <w:pStyle w:val="ListBullet"/>
        <w:spacing w:after="20"/>
      </w:pPr>
      <w:r>
        <w:rPr>
          <w:rFonts w:ascii="Arial" w:hAnsi="Arial" w:eastAsia="Noto Sans CJK SC"/>
          <w:b w:val="0"/>
          <w:color w:val="555B65"/>
          <w:sz w:val="19"/>
        </w:rPr>
        <w:t>Apple Human Interface Guidelines — Motion</w:t>
      </w:r>
    </w:p>
    <w:p>
      <w:pPr>
        <w:pStyle w:val="ListBullet"/>
        <w:spacing w:after="20"/>
      </w:pPr>
      <w:r>
        <w:rPr>
          <w:rFonts w:ascii="Arial" w:hAnsi="Arial" w:eastAsia="Noto Sans CJK SC"/>
          <w:b w:val="0"/>
          <w:color w:val="555B65"/>
          <w:sz w:val="19"/>
        </w:rPr>
        <w:t>Tesla UI / software product language (public product experience)</w:t>
      </w:r>
    </w:p>
    <w:p>
      <w:pPr>
        <w:pStyle w:val="ListBullet"/>
        <w:spacing w:after="20"/>
      </w:pPr>
      <w:r>
        <w:rPr>
          <w:rFonts w:ascii="Arial" w:hAnsi="Arial" w:eastAsia="Noto Sans CJK SC"/>
          <w:b w:val="0"/>
          <w:color w:val="555B65"/>
          <w:sz w:val="19"/>
        </w:rPr>
        <w:t>Nothing — Brand / Glyph Interface</w:t>
      </w:r>
    </w:p>
    <w:p>
      <w:pPr>
        <w:pStyle w:val="ListBullet"/>
        <w:spacing w:after="20"/>
      </w:pPr>
      <w:r>
        <w:rPr>
          <w:rFonts w:ascii="Arial" w:hAnsi="Arial" w:eastAsia="Noto Sans CJK SC"/>
          <w:b w:val="0"/>
          <w:color w:val="555B65"/>
          <w:sz w:val="19"/>
        </w:rPr>
        <w:t>GitHub Brand Toolkit / Primer</w:t>
      </w:r>
    </w:p>
    <w:p>
      <w:pPr>
        <w:pStyle w:val="ListBullet"/>
        <w:spacing w:after="20"/>
      </w:pPr>
      <w:r>
        <w:rPr>
          <w:rFonts w:ascii="Arial" w:hAnsi="Arial" w:eastAsia="Noto Sans CJK SC"/>
          <w:b w:val="0"/>
          <w:color w:val="555B65"/>
          <w:sz w:val="19"/>
        </w:rPr>
        <w:t>IBM Carbon Design System</w:t>
      </w:r>
    </w:p>
    <w:p>
      <w:pPr>
        <w:pStyle w:val="ListBullet"/>
        <w:spacing w:after="20"/>
      </w:pPr>
      <w:r>
        <w:rPr>
          <w:rFonts w:ascii="Arial" w:hAnsi="Arial" w:eastAsia="Noto Sans CJK SC"/>
          <w:b w:val="0"/>
          <w:color w:val="555B65"/>
          <w:sz w:val="19"/>
        </w:rPr>
        <w:t>Toss Design System</w:t>
      </w:r>
    </w:p>
    <w:p>
      <w:pPr>
        <w:pStyle w:val="ListBullet"/>
        <w:spacing w:after="20"/>
      </w:pPr>
      <w:r>
        <w:rPr>
          <w:rFonts w:ascii="Arial" w:hAnsi="Arial" w:eastAsia="Noto Sans CJK SC"/>
          <w:b w:val="0"/>
          <w:color w:val="555B65"/>
          <w:sz w:val="19"/>
        </w:rPr>
        <w:t>Gentle Monster — Stores / Exhibitions / Brand Stories</w:t>
      </w:r>
    </w:p>
    <w:p>
      <w:pPr>
        <w:pStyle w:val="ListBullet"/>
        <w:spacing w:after="20"/>
      </w:pPr>
      <w:r>
        <w:rPr>
          <w:rFonts w:ascii="Arial" w:hAnsi="Arial" w:eastAsia="Noto Sans CJK SC"/>
          <w:b w:val="0"/>
          <w:color w:val="555B65"/>
          <w:sz w:val="19"/>
        </w:rPr>
        <w:t>Tamburins — Exhibitions / Store Experience</w:t>
      </w:r>
    </w:p>
    <w:p>
      <w:pPr>
        <w:pStyle w:val="ListBullet"/>
        <w:spacing w:after="20"/>
      </w:pPr>
      <w:r>
        <w:rPr>
          <w:rFonts w:ascii="Arial" w:hAnsi="Arial" w:eastAsia="Noto Sans CJK SC"/>
          <w:b w:val="0"/>
          <w:color w:val="555B65"/>
          <w:sz w:val="19"/>
        </w:rPr>
        <w:t>ADERERROR — Brand / Space / Collection language</w:t>
      </w:r>
    </w:p>
    <w:p>
      <w:pPr>
        <w:pStyle w:val="ListBullet"/>
        <w:spacing w:after="20"/>
      </w:pPr>
      <w:r>
        <w:rPr>
          <w:rFonts w:ascii="Arial" w:hAnsi="Arial" w:eastAsia="Noto Sans CJK SC"/>
          <w:b w:val="0"/>
          <w:color w:val="555B65"/>
          <w:sz w:val="19"/>
        </w:rPr>
        <w:t>29CM — Editorial commerce experience</w:t>
      </w:r>
    </w:p>
    <w:p>
      <w:pPr>
        <w:pStyle w:val="ListBullet"/>
        <w:spacing w:after="20"/>
      </w:pPr>
      <w:r>
        <w:rPr>
          <w:rFonts w:ascii="Arial" w:hAnsi="Arial" w:eastAsia="Noto Sans CJK SC"/>
          <w:b w:val="0"/>
          <w:color w:val="555B65"/>
          <w:sz w:val="19"/>
        </w:rPr>
        <w:t>Teenage Engineering — OP-1 / Field System product language</w:t>
      </w:r>
    </w:p>
    <w:sectPr w:rsidR="00FC693F" w:rsidRPr="0006063C" w:rsidSect="00034616">
      <w:pgSz w:w="12240" w:h="15840"/>
      <w:pgMar w:top="907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