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1936" w14:textId="799D73E3" w:rsidR="007B7B11" w:rsidRPr="003649C8" w:rsidRDefault="006D4CB8" w:rsidP="003649C8">
      <w:pPr>
        <w:pStyle w:val="Title"/>
      </w:pPr>
      <w:bookmarkStart w:id="0" w:name="Top"/>
      <w:r>
        <w:t>Dan’s Frappuccino Paradise</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77777777" w:rsidR="00CB519F" w:rsidRPr="002D1D06" w:rsidRDefault="00CB519F" w:rsidP="002D1D06">
      <w:pPr>
        <w:rPr>
          <w:i/>
          <w:highlight w:val="yellow"/>
        </w:rPr>
      </w:pPr>
      <w:r w:rsidRPr="002D1D06">
        <w:rPr>
          <w:i/>
          <w:highlight w:val="yellow"/>
        </w:rPr>
        <w:t>(Describe your communication policies and procedures.)</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6D4CB8"/>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Keldon Boehmer</cp:lastModifiedBy>
  <cp:revision>11</cp:revision>
  <cp:lastPrinted>2013-01-24T00:23:00Z</cp:lastPrinted>
  <dcterms:created xsi:type="dcterms:W3CDTF">2014-01-10T15:40:00Z</dcterms:created>
  <dcterms:modified xsi:type="dcterms:W3CDTF">2022-09-08T15:37:00Z</dcterms:modified>
</cp:coreProperties>
</file>