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YaHei" w:hAnsi="Microsoft YaHei" w:eastAsia="Microsoft YaHei"/>
          <w:b/>
          <w:sz w:val="32"/>
        </w:rPr>
        <w:t>第1页：现状痛点与建设目标</w:t>
      </w:r>
    </w:p>
    <w:p>
      <w:r>
        <w:rPr>
          <w:rFonts w:ascii="Microsoft YaHei" w:hAnsi="Microsoft YaHei" w:eastAsia="Microsoft YaHei"/>
          <w:b w:val="0"/>
          <w:sz w:val="22"/>
        </w:rPr>
        <w:t>讲解提示：2026-04-04 版本，按45-90秒/页讲解。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现状问题聚焦在“效率、准确、可视化”三方面。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已落地能力与痛点一一对应，可现场验证。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结论是先稳定交付，再持续优化。</w:t>
      </w:r>
    </w:p>
    <w:p>
      <w:r>
        <w:drawing>
          <wp:inline xmlns:a="http://schemas.openxmlformats.org/drawingml/2006/main" xmlns:pic="http://schemas.openxmlformats.org/drawingml/2006/picture">
            <wp:extent cx="7863840" cy="44234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现状痛点与建设目标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423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sz w:val="22"/>
        </w:rPr>
        <w:t>一句话结论：系统建设目标是提效率、保质量、可追溯。</w:t>
      </w:r>
    </w:p>
    <w:p>
      <w:r>
        <w:br w:type="page"/>
      </w:r>
    </w:p>
    <w:p>
      <w:pPr>
        <w:jc w:val="left"/>
      </w:pPr>
      <w:r>
        <w:rPr>
          <w:rFonts w:ascii="Microsoft YaHei" w:hAnsi="Microsoft YaHei" w:eastAsia="Microsoft YaHei"/>
          <w:b/>
          <w:sz w:val="32"/>
        </w:rPr>
        <w:t>第2页：第一阶段功能用例图</w:t>
      </w:r>
    </w:p>
    <w:p>
      <w:r>
        <w:rPr>
          <w:rFonts w:ascii="Microsoft YaHei" w:hAnsi="Microsoft YaHei" w:eastAsia="Microsoft YaHei"/>
          <w:b w:val="0"/>
          <w:sz w:val="22"/>
        </w:rPr>
        <w:t>讲解提示：2026-04-04 版本，按45-90秒/页讲解。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档案专员负责导入、识别、编辑、归档。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审核管理员负责核对冲突、确认质量。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系统管理员保障平台稳定与审计可用。</w:t>
      </w:r>
    </w:p>
    <w:p>
      <w:r>
        <w:drawing>
          <wp:inline xmlns:a="http://schemas.openxmlformats.org/drawingml/2006/main" xmlns:pic="http://schemas.openxmlformats.org/drawingml/2006/picture">
            <wp:extent cx="7863840" cy="44234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第一阶段功能用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423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sz w:val="22"/>
        </w:rPr>
        <w:t>一句话结论：第一阶段已形成“识别-复核-归档”的业务闭环。</w:t>
      </w:r>
    </w:p>
    <w:p>
      <w:r>
        <w:br w:type="page"/>
      </w:r>
    </w:p>
    <w:p>
      <w:pPr>
        <w:jc w:val="left"/>
      </w:pPr>
      <w:r>
        <w:rPr>
          <w:rFonts w:ascii="Microsoft YaHei" w:hAnsi="Microsoft YaHei" w:eastAsia="Microsoft YaHei"/>
          <w:b/>
          <w:sz w:val="32"/>
        </w:rPr>
        <w:t>第3页：六项目标落地矩阵</w:t>
      </w:r>
    </w:p>
    <w:p>
      <w:r>
        <w:rPr>
          <w:rFonts w:ascii="Microsoft YaHei" w:hAnsi="Microsoft YaHei" w:eastAsia="Microsoft YaHei"/>
          <w:b w:val="0"/>
          <w:sz w:val="22"/>
        </w:rPr>
        <w:t>讲解提示：2026-04-04 版本，按45-90秒/页讲解。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6项目标逐条拆解为“当前状态 / 近期上线 / 二期优化”。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第一阶段优先交付：双层PDF、字段归档、分类保存、自动整合。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第二阶段重点推进：缺页检测、对话整理与证据问答。</w:t>
      </w:r>
    </w:p>
    <w:p>
      <w:r>
        <w:drawing>
          <wp:inline xmlns:a="http://schemas.openxmlformats.org/drawingml/2006/main" xmlns:pic="http://schemas.openxmlformats.org/drawingml/2006/picture">
            <wp:extent cx="7863840" cy="44234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六项目标落地矩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423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sz w:val="22"/>
        </w:rPr>
        <w:t>一句话结论：目标分层清晰，避免一次性摊大饼。</w:t>
      </w:r>
    </w:p>
    <w:p>
      <w:r>
        <w:br w:type="page"/>
      </w:r>
    </w:p>
    <w:p>
      <w:pPr>
        <w:jc w:val="left"/>
      </w:pPr>
      <w:r>
        <w:rPr>
          <w:rFonts w:ascii="Microsoft YaHei" w:hAnsi="Microsoft YaHei" w:eastAsia="Microsoft YaHei"/>
          <w:b/>
          <w:sz w:val="32"/>
        </w:rPr>
        <w:t>第4页：第二阶段AI赋能路线图</w:t>
      </w:r>
    </w:p>
    <w:p>
      <w:r>
        <w:rPr>
          <w:rFonts w:ascii="Microsoft YaHei" w:hAnsi="Microsoft YaHei" w:eastAsia="Microsoft YaHei"/>
          <w:b w:val="0"/>
          <w:sz w:val="22"/>
        </w:rPr>
        <w:t>讲解提示：2026-04-04 版本，按45-90秒/页讲解。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阶段A/B/C/D分别解决整合、比对、闭环、问答。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坚持“准确优先、可解释优先、可追溯优先”。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每阶段都有可验收输出，不依赖空泛指标。</w:t>
      </w:r>
    </w:p>
    <w:p>
      <w:r>
        <w:drawing>
          <wp:inline xmlns:a="http://schemas.openxmlformats.org/drawingml/2006/main" xmlns:pic="http://schemas.openxmlformats.org/drawingml/2006/picture">
            <wp:extent cx="7863840" cy="44234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第二阶段AI赋能路线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423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sz w:val="22"/>
        </w:rPr>
        <w:t>一句话结论：二期AI建设有路径、有边界、可落地。</w:t>
      </w:r>
    </w:p>
    <w:p>
      <w:r>
        <w:br w:type="page"/>
      </w:r>
    </w:p>
    <w:p>
      <w:pPr>
        <w:jc w:val="left"/>
      </w:pPr>
      <w:r>
        <w:rPr>
          <w:rFonts w:ascii="Microsoft YaHei" w:hAnsi="Microsoft YaHei" w:eastAsia="Microsoft YaHei"/>
          <w:b/>
          <w:sz w:val="32"/>
        </w:rPr>
        <w:t>第5页：落地效果与实施建议</w:t>
      </w:r>
    </w:p>
    <w:p>
      <w:r>
        <w:rPr>
          <w:rFonts w:ascii="Microsoft YaHei" w:hAnsi="Microsoft YaHei" w:eastAsia="Microsoft YaHei"/>
          <w:b w:val="0"/>
          <w:sz w:val="22"/>
        </w:rPr>
        <w:t>讲解提示：2026-04-04 版本，按45-90秒/页讲解。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从效率、质量、安全、管理四维展示落地价值。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实施建议采用“试点 -&gt; 扩面 -&gt; 稳态运营”节奏。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明确甲方需确认的范围、口径、节奏和责任边界。</w:t>
      </w:r>
    </w:p>
    <w:p>
      <w:r>
        <w:drawing>
          <wp:inline xmlns:a="http://schemas.openxmlformats.org/drawingml/2006/main" xmlns:pic="http://schemas.openxmlformats.org/drawingml/2006/picture">
            <wp:extent cx="7863840" cy="44234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落地效果与实施建议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4423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sz w:val="22"/>
        </w:rPr>
        <w:t>一句话结论：该方案可稳妥上线并支持后续扩展。</w:t>
      </w:r>
    </w:p>
    <w:p>
      <w:r>
        <w:br w:type="page"/>
      </w:r>
    </w:p>
    <w:p>
      <w:pPr>
        <w:jc w:val="left"/>
      </w:pPr>
      <w:r>
        <w:rPr>
          <w:rFonts w:ascii="Microsoft YaHei" w:hAnsi="Microsoft YaHei" w:eastAsia="Microsoft YaHei"/>
          <w:b/>
          <w:sz w:val="32"/>
        </w:rPr>
        <w:t>附录：能力口径定义表（6项目标）</w:t>
      </w:r>
    </w:p>
    <w:p>
      <w:r>
        <w:rPr>
          <w:rFonts w:ascii="Microsoft YaHei" w:hAnsi="Microsoft YaHei" w:eastAsia="Microsoft YaHei"/>
          <w:b w:val="0"/>
          <w:sz w:val="22"/>
        </w:rPr>
        <w:t>说明：用于统一汇报口径，不是接口文档。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能力项</w:t>
            </w:r>
          </w:p>
        </w:tc>
        <w:tc>
          <w:tcPr>
            <w:tcW w:type="dxa" w:w="1728"/>
          </w:tcPr>
          <w:p>
            <w:r>
              <w:t>输入</w:t>
            </w:r>
          </w:p>
        </w:tc>
        <w:tc>
          <w:tcPr>
            <w:tcW w:type="dxa" w:w="1728"/>
          </w:tcPr>
          <w:p>
            <w:r>
              <w:t>输出</w:t>
            </w:r>
          </w:p>
        </w:tc>
        <w:tc>
          <w:tcPr>
            <w:tcW w:type="dxa" w:w="1728"/>
          </w:tcPr>
          <w:p>
            <w:r>
              <w:t>复核方式</w:t>
            </w:r>
          </w:p>
        </w:tc>
        <w:tc>
          <w:tcPr>
            <w:tcW w:type="dxa" w:w="1728"/>
          </w:tcPr>
          <w:p>
            <w:r>
              <w:t>落地状态</w:t>
            </w:r>
          </w:p>
        </w:tc>
      </w:tr>
      <w:tr>
        <w:tc>
          <w:tcPr>
            <w:tcW w:type="dxa" w:w="1728"/>
          </w:tcPr>
          <w:p>
            <w:r>
              <w:t>双层PDF导出</w:t>
            </w:r>
          </w:p>
        </w:tc>
        <w:tc>
          <w:tcPr>
            <w:tcW w:type="dxa" w:w="1728"/>
          </w:tcPr>
          <w:p>
            <w:r>
              <w:t>识别结果+原始页</w:t>
            </w:r>
          </w:p>
        </w:tc>
        <w:tc>
          <w:tcPr>
            <w:tcW w:type="dxa" w:w="1728"/>
          </w:tcPr>
          <w:p>
            <w:r>
              <w:t>可下载双层PDF</w:t>
            </w:r>
          </w:p>
        </w:tc>
        <w:tc>
          <w:tcPr>
            <w:tcW w:type="dxa" w:w="1728"/>
          </w:tcPr>
          <w:p>
            <w:r>
              <w:t>抽检可搜索文本</w:t>
            </w:r>
          </w:p>
        </w:tc>
        <w:tc>
          <w:tcPr>
            <w:tcW w:type="dxa" w:w="1728"/>
          </w:tcPr>
          <w:p>
            <w:r>
              <w:t>一期近期上线</w:t>
            </w:r>
          </w:p>
        </w:tc>
      </w:tr>
      <w:tr>
        <w:tc>
          <w:tcPr>
            <w:tcW w:type="dxa" w:w="1728"/>
          </w:tcPr>
          <w:p>
            <w:r>
              <w:t>字段自动归档</w:t>
            </w:r>
          </w:p>
        </w:tc>
        <w:tc>
          <w:tcPr>
            <w:tcW w:type="dxa" w:w="1728"/>
          </w:tcPr>
          <w:p>
            <w:r>
              <w:t>材料全文+字段配置</w:t>
            </w:r>
          </w:p>
        </w:tc>
        <w:tc>
          <w:tcPr>
            <w:tcW w:type="dxa" w:w="1728"/>
          </w:tcPr>
          <w:p>
            <w:r>
              <w:t>字段值+置信度</w:t>
            </w:r>
          </w:p>
        </w:tc>
        <w:tc>
          <w:tcPr>
            <w:tcW w:type="dxa" w:w="1728"/>
          </w:tcPr>
          <w:p>
            <w:r>
              <w:t>建议人工复审</w:t>
            </w:r>
          </w:p>
        </w:tc>
        <w:tc>
          <w:tcPr>
            <w:tcW w:type="dxa" w:w="1728"/>
          </w:tcPr>
          <w:p>
            <w:r>
              <w:t>一期增强</w:t>
            </w:r>
          </w:p>
        </w:tc>
      </w:tr>
      <w:tr>
        <w:tc>
          <w:tcPr>
            <w:tcW w:type="dxa" w:w="1728"/>
          </w:tcPr>
          <w:p>
            <w:r>
              <w:t>分类保存</w:t>
            </w:r>
          </w:p>
        </w:tc>
        <w:tc>
          <w:tcPr>
            <w:tcW w:type="dxa" w:w="1728"/>
          </w:tcPr>
          <w:p>
            <w:r>
              <w:t>批次信息+内容特征</w:t>
            </w:r>
          </w:p>
        </w:tc>
        <w:tc>
          <w:tcPr>
            <w:tcW w:type="dxa" w:w="1728"/>
          </w:tcPr>
          <w:p>
            <w:r>
              <w:t>批次/主题目录</w:t>
            </w:r>
          </w:p>
        </w:tc>
        <w:tc>
          <w:tcPr>
            <w:tcW w:type="dxa" w:w="1728"/>
          </w:tcPr>
          <w:p>
            <w:r>
              <w:t>人工抽样复核</w:t>
            </w:r>
          </w:p>
        </w:tc>
        <w:tc>
          <w:tcPr>
            <w:tcW w:type="dxa" w:w="1728"/>
          </w:tcPr>
          <w:p>
            <w:r>
              <w:t>一期增强</w:t>
            </w:r>
          </w:p>
        </w:tc>
      </w:tr>
      <w:tr>
        <w:tc>
          <w:tcPr>
            <w:tcW w:type="dxa" w:w="1728"/>
          </w:tcPr>
          <w:p>
            <w:r>
              <w:t>自动整合</w:t>
            </w:r>
          </w:p>
        </w:tc>
        <w:tc>
          <w:tcPr>
            <w:tcW w:type="dxa" w:w="1728"/>
          </w:tcPr>
          <w:p>
            <w:r>
              <w:t>分散文件集合</w:t>
            </w:r>
          </w:p>
        </w:tc>
        <w:tc>
          <w:tcPr>
            <w:tcW w:type="dxa" w:w="1728"/>
          </w:tcPr>
          <w:p>
            <w:r>
              <w:t>同文档合并结果</w:t>
            </w:r>
          </w:p>
        </w:tc>
        <w:tc>
          <w:tcPr>
            <w:tcW w:type="dxa" w:w="1728"/>
          </w:tcPr>
          <w:p>
            <w:r>
              <w:t>分组依据可追溯</w:t>
            </w:r>
          </w:p>
        </w:tc>
        <w:tc>
          <w:tcPr>
            <w:tcW w:type="dxa" w:w="1728"/>
          </w:tcPr>
          <w:p>
            <w:r>
              <w:t>一期增强</w:t>
            </w:r>
          </w:p>
        </w:tc>
      </w:tr>
      <w:tr>
        <w:tc>
          <w:tcPr>
            <w:tcW w:type="dxa" w:w="1728"/>
          </w:tcPr>
          <w:p>
            <w:r>
              <w:t>缺页提醒</w:t>
            </w:r>
          </w:p>
        </w:tc>
        <w:tc>
          <w:tcPr>
            <w:tcW w:type="dxa" w:w="1728"/>
          </w:tcPr>
          <w:p>
            <w:r>
              <w:t>页序+内容覆盖</w:t>
            </w:r>
          </w:p>
        </w:tc>
        <w:tc>
          <w:tcPr>
            <w:tcW w:type="dxa" w:w="1728"/>
          </w:tcPr>
          <w:p>
            <w:r>
              <w:t>缺页/不全提示</w:t>
            </w:r>
          </w:p>
        </w:tc>
        <w:tc>
          <w:tcPr>
            <w:tcW w:type="dxa" w:w="1728"/>
          </w:tcPr>
          <w:p>
            <w:r>
              <w:t>人工复查确认</w:t>
            </w:r>
          </w:p>
        </w:tc>
        <w:tc>
          <w:tcPr>
            <w:tcW w:type="dxa" w:w="1728"/>
          </w:tcPr>
          <w:p>
            <w:r>
              <w:t>二期重点</w:t>
            </w:r>
          </w:p>
        </w:tc>
      </w:tr>
      <w:tr>
        <w:tc>
          <w:tcPr>
            <w:tcW w:type="dxa" w:w="1728"/>
          </w:tcPr>
          <w:p>
            <w:r>
              <w:t>对话整理</w:t>
            </w:r>
          </w:p>
        </w:tc>
        <w:tc>
          <w:tcPr>
            <w:tcW w:type="dxa" w:w="1728"/>
          </w:tcPr>
          <w:p>
            <w:r>
              <w:t>批次或指定文档</w:t>
            </w:r>
          </w:p>
        </w:tc>
        <w:tc>
          <w:tcPr>
            <w:tcW w:type="dxa" w:w="1728"/>
          </w:tcPr>
          <w:p>
            <w:r>
              <w:t>答案+证据片段</w:t>
            </w:r>
          </w:p>
        </w:tc>
        <w:tc>
          <w:tcPr>
            <w:tcW w:type="dxa" w:w="1728"/>
          </w:tcPr>
          <w:p>
            <w:r>
              <w:t>证据不足拒答</w:t>
            </w:r>
          </w:p>
        </w:tc>
        <w:tc>
          <w:tcPr>
            <w:tcW w:type="dxa" w:w="1728"/>
          </w:tcPr>
          <w:p>
            <w:r>
              <w:t>二期重点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