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FBEC3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肿瘤</w:t>
      </w:r>
      <w:r>
        <w:rPr>
          <w:rFonts w:hint="eastAsia"/>
          <w:b/>
          <w:bCs/>
          <w:sz w:val="44"/>
          <w:szCs w:val="44"/>
        </w:rPr>
        <w:t>患者问诊归纳表</w:t>
      </w:r>
    </w:p>
    <w:p w14:paraId="193F22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26DD4E49">
      <w:pPr>
        <w:rPr>
          <w:rFonts w:hint="eastAsia"/>
        </w:rPr>
      </w:pPr>
      <w:r>
        <w:rPr>
          <w:rFonts w:hint="eastAsia"/>
        </w:rPr>
        <w:t>记录时间</w:t>
      </w:r>
      <w:r>
        <w:rPr>
          <w:rFonts w:hint="eastAsia"/>
          <w:lang w:eastAsia="zh-CN"/>
        </w:rPr>
        <w:t>：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30 </w:t>
      </w:r>
      <w:r>
        <w:rPr>
          <w:rFonts w:hint="eastAsia"/>
        </w:rPr>
        <w:t>日</w:t>
      </w:r>
      <w:r>
        <w:rPr>
          <w:rFonts w:hint="eastAsia"/>
        </w:rPr>
        <w:tab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1873"/>
        <w:gridCol w:w="2200"/>
        <w:gridCol w:w="2352"/>
        <w:gridCol w:w="2494"/>
        <w:gridCol w:w="3971"/>
      </w:tblGrid>
      <w:tr w14:paraId="633D0DA0">
        <w:tc>
          <w:tcPr>
            <w:tcW w:w="14892" w:type="dxa"/>
            <w:gridSpan w:val="6"/>
            <w:shd w:val="clear" w:color="auto" w:fill="E7D2FF"/>
          </w:tcPr>
          <w:p w14:paraId="4FA70E93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患者基本信息</w:t>
            </w:r>
          </w:p>
        </w:tc>
      </w:tr>
      <w:tr w14:paraId="3752EE92">
        <w:tc>
          <w:tcPr>
            <w:tcW w:w="2002" w:type="dxa"/>
          </w:tcPr>
          <w:p w14:paraId="764FADF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1873" w:type="dxa"/>
          </w:tcPr>
          <w:p w14:paraId="677A55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</w:t>
            </w:r>
          </w:p>
        </w:tc>
        <w:tc>
          <w:tcPr>
            <w:tcW w:w="2200" w:type="dxa"/>
            <w:shd w:val="clear" w:color="auto" w:fill="auto"/>
            <w:vAlign w:val="top"/>
          </w:tcPr>
          <w:p w14:paraId="151926A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年龄</w:t>
            </w:r>
          </w:p>
        </w:tc>
        <w:tc>
          <w:tcPr>
            <w:tcW w:w="2352" w:type="dxa"/>
          </w:tcPr>
          <w:p w14:paraId="3E6D3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43</w:t>
            </w:r>
          </w:p>
        </w:tc>
        <w:tc>
          <w:tcPr>
            <w:tcW w:w="2494" w:type="dxa"/>
          </w:tcPr>
          <w:p w14:paraId="285B015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身高和体重</w:t>
            </w:r>
          </w:p>
        </w:tc>
        <w:tc>
          <w:tcPr>
            <w:tcW w:w="3971" w:type="dxa"/>
          </w:tcPr>
          <w:p w14:paraId="67959F9A">
            <w:pPr>
              <w:ind w:firstLine="210" w:firstLineChars="1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cm,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Kg</w:t>
            </w:r>
          </w:p>
        </w:tc>
      </w:tr>
      <w:tr w14:paraId="11AF2A2A">
        <w:tc>
          <w:tcPr>
            <w:tcW w:w="2002" w:type="dxa"/>
            <w:vAlign w:val="top"/>
          </w:tcPr>
          <w:p w14:paraId="31FF319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ECOG评分</w:t>
            </w:r>
          </w:p>
        </w:tc>
        <w:tc>
          <w:tcPr>
            <w:tcW w:w="1873" w:type="dxa"/>
            <w:vAlign w:val="top"/>
          </w:tcPr>
          <w:p w14:paraId="1BB5DF2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2200" w:type="dxa"/>
            <w:shd w:val="clear" w:color="auto" w:fill="auto"/>
            <w:vAlign w:val="top"/>
          </w:tcPr>
          <w:p w14:paraId="3F203F9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药物过敏史</w:t>
            </w:r>
          </w:p>
        </w:tc>
        <w:tc>
          <w:tcPr>
            <w:tcW w:w="8817" w:type="dxa"/>
            <w:gridSpan w:val="3"/>
          </w:tcPr>
          <w:p w14:paraId="4BE0D06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 w14:paraId="21791FDE">
        <w:tc>
          <w:tcPr>
            <w:tcW w:w="2002" w:type="dxa"/>
            <w:vAlign w:val="top"/>
          </w:tcPr>
          <w:p w14:paraId="35D4C45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确诊时间</w:t>
            </w:r>
          </w:p>
        </w:tc>
        <w:tc>
          <w:tcPr>
            <w:tcW w:w="1873" w:type="dxa"/>
            <w:vAlign w:val="top"/>
          </w:tcPr>
          <w:p w14:paraId="60012E7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2026.1</w:t>
            </w:r>
          </w:p>
        </w:tc>
        <w:tc>
          <w:tcPr>
            <w:tcW w:w="2200" w:type="dxa"/>
            <w:shd w:val="clear" w:color="auto" w:fill="auto"/>
            <w:vAlign w:val="top"/>
          </w:tcPr>
          <w:p w14:paraId="38FE6C6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确诊肿瘤及TNM分期</w:t>
            </w:r>
          </w:p>
        </w:tc>
        <w:tc>
          <w:tcPr>
            <w:tcW w:w="8817" w:type="dxa"/>
            <w:gridSpan w:val="3"/>
          </w:tcPr>
          <w:p w14:paraId="5DB2FBF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宫颈鳞癌 III2r期</w:t>
            </w:r>
          </w:p>
        </w:tc>
      </w:tr>
      <w:tr w14:paraId="55F67A4E">
        <w:tc>
          <w:tcPr>
            <w:tcW w:w="2002" w:type="dxa"/>
            <w:shd w:val="clear" w:color="auto" w:fill="auto"/>
            <w:vAlign w:val="top"/>
          </w:tcPr>
          <w:p w14:paraId="1F90455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核心诉求</w:t>
            </w:r>
          </w:p>
        </w:tc>
        <w:tc>
          <w:tcPr>
            <w:tcW w:w="12890" w:type="dxa"/>
            <w:gridSpan w:val="5"/>
          </w:tcPr>
          <w:p w14:paraId="300BB79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积极寻找有效的治疗方案</w:t>
            </w:r>
          </w:p>
        </w:tc>
      </w:tr>
      <w:tr w14:paraId="3671A994">
        <w:tc>
          <w:tcPr>
            <w:tcW w:w="14892" w:type="dxa"/>
            <w:gridSpan w:val="6"/>
          </w:tcPr>
          <w:p w14:paraId="7880488F">
            <w:pPr>
              <w:jc w:val="left"/>
              <w:rPr>
                <w:rFonts w:hint="eastAsi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基础疾病与合并用药</w:t>
            </w:r>
          </w:p>
        </w:tc>
      </w:tr>
      <w:tr w14:paraId="579127F7">
        <w:tc>
          <w:tcPr>
            <w:tcW w:w="14892" w:type="dxa"/>
            <w:gridSpan w:val="6"/>
            <w:shd w:val="clear" w:color="auto" w:fill="auto"/>
            <w:vAlign w:val="top"/>
          </w:tcPr>
          <w:p w14:paraId="27862DDC">
            <w:pPr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 w14:paraId="0A1412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17B9F0BE">
      <w:pPr>
        <w:rPr>
          <w:rFonts w:hint="eastAsia"/>
          <w:b/>
          <w:bCs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12902"/>
      </w:tblGrid>
      <w:tr w14:paraId="0B4B6FA3">
        <w:tc>
          <w:tcPr>
            <w:tcW w:w="14894" w:type="dxa"/>
            <w:gridSpan w:val="2"/>
            <w:shd w:val="clear" w:color="auto" w:fill="E7D2FF"/>
          </w:tcPr>
          <w:p w14:paraId="4DF3B443"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当前病情概况</w:t>
            </w:r>
          </w:p>
        </w:tc>
      </w:tr>
      <w:tr w14:paraId="78E5F143">
        <w:tc>
          <w:tcPr>
            <w:tcW w:w="1992" w:type="dxa"/>
          </w:tcPr>
          <w:p w14:paraId="3495C3E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影像</w:t>
            </w:r>
          </w:p>
        </w:tc>
        <w:tc>
          <w:tcPr>
            <w:tcW w:w="12902" w:type="dxa"/>
          </w:tcPr>
          <w:p w14:paraId="711E16C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2026.1 PET/CT 子宫体积增大，宫颈代谢异常（SUVmax11.4), 盆腔见多发肿大淋巴结（右侧显著，SUVmax3.5-7.5); 双侧扁桃体代谢异常（SUVmax7.5）；腹膜后见多发肿大淋巴影（SUVmax4.7）；</w:t>
            </w:r>
          </w:p>
        </w:tc>
      </w:tr>
      <w:tr w14:paraId="6FBD0175">
        <w:tc>
          <w:tcPr>
            <w:tcW w:w="1992" w:type="dxa"/>
          </w:tcPr>
          <w:p w14:paraId="6E8FB5C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肿瘤标记物</w:t>
            </w:r>
          </w:p>
        </w:tc>
        <w:tc>
          <w:tcPr>
            <w:tcW w:w="12902" w:type="dxa"/>
          </w:tcPr>
          <w:p w14:paraId="2C1409F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2026.1.5 SCC（鳞状细胞癌相关抗原）15ng/ml (参考区间0-3.0）</w:t>
            </w:r>
          </w:p>
        </w:tc>
      </w:tr>
      <w:tr w14:paraId="7080CB06">
        <w:tc>
          <w:tcPr>
            <w:tcW w:w="1992" w:type="dxa"/>
            <w:shd w:val="clear" w:color="auto" w:fill="auto"/>
            <w:vAlign w:val="top"/>
          </w:tcPr>
          <w:p w14:paraId="7411B5A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病原体基因检测</w:t>
            </w:r>
          </w:p>
        </w:tc>
        <w:tc>
          <w:tcPr>
            <w:tcW w:w="12902" w:type="dxa"/>
            <w:shd w:val="clear" w:color="auto" w:fill="auto"/>
            <w:vAlign w:val="top"/>
          </w:tcPr>
          <w:p w14:paraId="59846439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HPV16型阳性</w:t>
            </w:r>
            <w:bookmarkStart w:id="0" w:name="_GoBack"/>
            <w:bookmarkEnd w:id="0"/>
          </w:p>
        </w:tc>
      </w:tr>
      <w:tr w14:paraId="4C1BA15A">
        <w:tc>
          <w:tcPr>
            <w:tcW w:w="1992" w:type="dxa"/>
            <w:shd w:val="clear" w:color="auto" w:fill="auto"/>
            <w:vAlign w:val="top"/>
          </w:tcPr>
          <w:p w14:paraId="69B28A4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患者</w:t>
            </w:r>
            <w:r>
              <w:rPr>
                <w:rFonts w:hint="eastAsia"/>
              </w:rPr>
              <w:t>基因检测</w:t>
            </w:r>
          </w:p>
        </w:tc>
        <w:tc>
          <w:tcPr>
            <w:tcW w:w="12902" w:type="dxa"/>
            <w:shd w:val="clear" w:color="auto" w:fill="auto"/>
            <w:vAlign w:val="top"/>
          </w:tcPr>
          <w:p w14:paraId="76E9328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3AB5BA46">
        <w:tc>
          <w:tcPr>
            <w:tcW w:w="1992" w:type="dxa"/>
            <w:shd w:val="clear" w:color="auto" w:fill="auto"/>
            <w:vAlign w:val="top"/>
          </w:tcPr>
          <w:p w14:paraId="16A2D72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术后免疫组化病理</w:t>
            </w:r>
          </w:p>
        </w:tc>
        <w:tc>
          <w:tcPr>
            <w:tcW w:w="12902" w:type="dxa"/>
            <w:shd w:val="clear" w:color="auto" w:fill="auto"/>
            <w:vAlign w:val="top"/>
          </w:tcPr>
          <w:p w14:paraId="4339A9F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B7E106B">
        <w:tc>
          <w:tcPr>
            <w:tcW w:w="1992" w:type="dxa"/>
          </w:tcPr>
          <w:p w14:paraId="49D7EBE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累积药物毒性</w:t>
            </w:r>
          </w:p>
        </w:tc>
        <w:tc>
          <w:tcPr>
            <w:tcW w:w="12902" w:type="dxa"/>
          </w:tcPr>
          <w:p w14:paraId="4A1ACAB4">
            <w:pPr>
              <w:rPr>
                <w:rFonts w:hint="eastAsia"/>
                <w:vertAlign w:val="baseline"/>
              </w:rPr>
            </w:pPr>
          </w:p>
        </w:tc>
      </w:tr>
      <w:tr w14:paraId="3BC4FC48">
        <w:tc>
          <w:tcPr>
            <w:tcW w:w="1992" w:type="dxa"/>
          </w:tcPr>
          <w:p w14:paraId="15EFBF43">
            <w:pPr>
              <w:rPr>
                <w:rFonts w:hint="eastAsia"/>
              </w:rPr>
            </w:pPr>
            <w:r>
              <w:rPr>
                <w:rFonts w:hint="eastAsia"/>
              </w:rPr>
              <w:t>治疗方案</w:t>
            </w:r>
          </w:p>
        </w:tc>
        <w:tc>
          <w:tcPr>
            <w:tcW w:w="12902" w:type="dxa"/>
          </w:tcPr>
          <w:p w14:paraId="6BBDD3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同步放化疗，盆腔放疗：DT50Gy/25f，化疗：紫杉醇+顺铂+帕博利珠单抗；</w:t>
            </w:r>
          </w:p>
        </w:tc>
      </w:tr>
    </w:tbl>
    <w:p w14:paraId="1D961CE0">
      <w:pPr>
        <w:rPr>
          <w:rFonts w:hint="eastAsia"/>
        </w:rPr>
      </w:pPr>
    </w:p>
    <w:p w14:paraId="14DCA66E">
      <w:pPr>
        <w:rPr>
          <w:rFonts w:hint="eastAsia"/>
        </w:rPr>
      </w:pPr>
    </w:p>
    <w:p w14:paraId="614AFCA9">
      <w:pPr>
        <w:rPr>
          <w:rFonts w:hint="eastAsia"/>
        </w:rPr>
      </w:pPr>
    </w:p>
    <w:p w14:paraId="5CDC1B8C">
      <w:pPr>
        <w:rPr>
          <w:rFonts w:hint="eastAsia"/>
        </w:rPr>
      </w:pPr>
    </w:p>
    <w:tbl>
      <w:tblPr>
        <w:tblStyle w:val="4"/>
        <w:tblW w:w="147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165"/>
        <w:gridCol w:w="88"/>
        <w:gridCol w:w="1585"/>
        <w:gridCol w:w="2070"/>
        <w:gridCol w:w="2109"/>
        <w:gridCol w:w="2218"/>
        <w:gridCol w:w="1658"/>
      </w:tblGrid>
      <w:tr w14:paraId="2F5FFE1F">
        <w:trPr>
          <w:trHeight w:val="352" w:hRule="atLeast"/>
        </w:trPr>
        <w:tc>
          <w:tcPr>
            <w:tcW w:w="14741" w:type="dxa"/>
            <w:gridSpan w:val="8"/>
            <w:tcBorders>
              <w:bottom w:val="single" w:color="auto" w:sz="4" w:space="0"/>
            </w:tcBorders>
            <w:shd w:val="clear" w:color="auto" w:fill="E7D2FF"/>
            <w:vAlign w:val="bottom"/>
          </w:tcPr>
          <w:p w14:paraId="6998CCC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t>治疗决策史</w:t>
            </w:r>
          </w:p>
        </w:tc>
      </w:tr>
      <w:tr w14:paraId="694BC0EC">
        <w:trPr>
          <w:trHeight w:val="90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2E040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时间段</w:t>
            </w:r>
          </w:p>
        </w:tc>
        <w:tc>
          <w:tcPr>
            <w:tcW w:w="325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1A06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治疗方案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8BD9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疗效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16B3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副作用</w:t>
            </w: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FCE0C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影像学变化 趋势</w:t>
            </w: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55165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肿瘤标记物变化趋势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23C0E7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 w14:paraId="574D6908">
        <w:trPr>
          <w:trHeight w:val="352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8403A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↳ 决策思路</w:t>
            </w:r>
          </w:p>
        </w:tc>
        <w:tc>
          <w:tcPr>
            <w:tcW w:w="1123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5431D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盆腔及腹膜后淋巴结，双侧扁桃体均有代谢增高现象(</w:t>
            </w:r>
            <w:r>
              <w:rPr>
                <w:rFonts w:hint="eastAsia"/>
                <w:vertAlign w:val="baseline"/>
                <w:lang w:val="en-US" w:eastAsia="zh-CN"/>
              </w:rPr>
              <w:t>SUVmax7.5）, 同步放化疗联合免疫治疗进行高效控制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6AC336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D1714EE">
        <w:trPr>
          <w:trHeight w:val="352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696F0E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2026.1.13-2026.1.19</w:t>
            </w: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05E231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第一周期同步放化疗</w:t>
            </w:r>
          </w:p>
          <w:p w14:paraId="49216F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盆腔放疗：DT50Gy/25f</w:t>
            </w:r>
          </w:p>
          <w:p w14:paraId="7676D3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化疗：紫杉醇脂质体（210mg)+顺铂(45mg)+帕博利珠单抗(200mg）；化疗后24h预防性升白细胞治疗</w:t>
            </w: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3DA51A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待评估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4FBFA7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1EAB47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1E27C8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DAE3F3" w:themeFill="accent5" w:themeFillTint="32"/>
            <w:vAlign w:val="bottom"/>
          </w:tcPr>
          <w:p w14:paraId="35152D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F1EDB8B">
        <w:trPr>
          <w:trHeight w:val="352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CD81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↳ 决策思路</w:t>
            </w:r>
          </w:p>
        </w:tc>
        <w:tc>
          <w:tcPr>
            <w:tcW w:w="1289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4C68D5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CC7DF2C">
        <w:trPr>
          <w:trHeight w:val="90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616F6D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0977F7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625281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424191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64FADD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473AA4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DAE3F3" w:themeFill="accent5" w:themeFillTint="32"/>
            <w:vAlign w:val="bottom"/>
          </w:tcPr>
          <w:p w14:paraId="1B6DD5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10B3C32">
        <w:trPr>
          <w:trHeight w:val="352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E0968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↳ 决策思路</w:t>
            </w:r>
          </w:p>
        </w:tc>
        <w:tc>
          <w:tcPr>
            <w:tcW w:w="1289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6CBAEB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6FBF915">
        <w:trPr>
          <w:trHeight w:val="340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760B36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22A01D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1D0CCE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60FB12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46EE48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7BA316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DAE3F3" w:themeFill="accent5" w:themeFillTint="32"/>
            <w:vAlign w:val="bottom"/>
          </w:tcPr>
          <w:p w14:paraId="3C5683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2DEB64B">
        <w:trPr>
          <w:trHeight w:val="352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0BBF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↳ 决策思路</w:t>
            </w:r>
          </w:p>
        </w:tc>
        <w:tc>
          <w:tcPr>
            <w:tcW w:w="1289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39F4C5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A38B241">
        <w:trPr>
          <w:trHeight w:val="352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5F3E23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02A64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5392F4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26AD10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72DD35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5B02A5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DAE3F3" w:themeFill="accent5" w:themeFillTint="32"/>
            <w:vAlign w:val="bottom"/>
          </w:tcPr>
          <w:p w14:paraId="34E88B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C82AC5B">
        <w:trPr>
          <w:trHeight w:val="352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35516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↳ 决策思路</w:t>
            </w:r>
          </w:p>
        </w:tc>
        <w:tc>
          <w:tcPr>
            <w:tcW w:w="1289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385676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2BF6CE3">
        <w:trPr>
          <w:trHeight w:val="352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611CA4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5F48CC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3519FA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65E160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4E1D33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247BFF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DAE3F3" w:themeFill="accent5" w:themeFillTint="32"/>
            <w:vAlign w:val="bottom"/>
          </w:tcPr>
          <w:p w14:paraId="4A929A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07576B5">
        <w:trPr>
          <w:trHeight w:val="680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41AE6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↳ 决策思路</w:t>
            </w:r>
          </w:p>
        </w:tc>
        <w:tc>
          <w:tcPr>
            <w:tcW w:w="1289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187953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C3EF7A6">
        <w:trPr>
          <w:trHeight w:val="352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74DD5D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0543A4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170F56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417BA5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361A3F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7E5513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DAE3F3" w:themeFill="accent5" w:themeFillTint="32"/>
            <w:vAlign w:val="bottom"/>
          </w:tcPr>
          <w:p w14:paraId="19FE97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002C785">
        <w:trPr>
          <w:trHeight w:val="352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ED3D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↳ 决策思路</w:t>
            </w:r>
          </w:p>
        </w:tc>
        <w:tc>
          <w:tcPr>
            <w:tcW w:w="1289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4E2EC6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47F0CD3">
        <w:trPr>
          <w:trHeight w:val="352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07DB87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4EF6AA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266E8C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4A0192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7B59FE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063691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DAE3F3" w:themeFill="accent5" w:themeFillTint="32"/>
            <w:vAlign w:val="bottom"/>
          </w:tcPr>
          <w:p w14:paraId="6C1E2C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2626891">
        <w:trPr>
          <w:trHeight w:val="680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5BF12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↳ 决策思路</w:t>
            </w:r>
          </w:p>
        </w:tc>
        <w:tc>
          <w:tcPr>
            <w:tcW w:w="1289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731643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61C4EF9">
        <w:trPr>
          <w:trHeight w:val="352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0CB0A3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03A3A3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77F9A1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12A436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4679A8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0C117E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DAE3F3" w:themeFill="accent5" w:themeFillTint="32"/>
            <w:vAlign w:val="bottom"/>
          </w:tcPr>
          <w:p w14:paraId="6C329D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C0387F2">
        <w:trPr>
          <w:trHeight w:val="680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25E63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↳ 决策思路</w:t>
            </w:r>
          </w:p>
        </w:tc>
        <w:tc>
          <w:tcPr>
            <w:tcW w:w="1289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58C0AE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1DBB1F6">
        <w:trPr>
          <w:trHeight w:val="328" w:hRule="atLeast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1DD6F5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273D32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38B4B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53826D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2584A3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3F3" w:themeFill="accent5" w:themeFillTint="32"/>
            <w:vAlign w:val="bottom"/>
          </w:tcPr>
          <w:p w14:paraId="67F78F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DAE3F3" w:themeFill="accent5" w:themeFillTint="32"/>
            <w:vAlign w:val="bottom"/>
          </w:tcPr>
          <w:p w14:paraId="778939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7710DA0">
        <w:trPr>
          <w:trHeight w:val="1020" w:hRule="atLeast"/>
        </w:trPr>
        <w:tc>
          <w:tcPr>
            <w:tcW w:w="1848" w:type="dxa"/>
            <w:tcBorders>
              <w:top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397A8E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↳ 决策思路</w:t>
            </w:r>
          </w:p>
        </w:tc>
        <w:tc>
          <w:tcPr>
            <w:tcW w:w="12893" w:type="dxa"/>
            <w:gridSpan w:val="7"/>
            <w:tcBorders>
              <w:top w:val="single" w:color="auto" w:sz="4" w:space="0"/>
              <w:left w:val="single" w:color="auto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11735E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C32DCDC">
        <w:trPr>
          <w:trHeight w:val="352" w:hRule="atLeast"/>
        </w:trPr>
        <w:tc>
          <w:tcPr>
            <w:tcW w:w="1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DAE3F3" w:themeFill="accent5" w:themeFillTint="32"/>
            <w:vAlign w:val="bottom"/>
          </w:tcPr>
          <w:p w14:paraId="613D1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DAE3F3" w:themeFill="accent5" w:themeFillTint="32"/>
            <w:vAlign w:val="bottom"/>
          </w:tcPr>
          <w:p w14:paraId="1EDC21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DAE3F3" w:themeFill="accent5" w:themeFillTint="32"/>
            <w:vAlign w:val="bottom"/>
          </w:tcPr>
          <w:p w14:paraId="5F3BB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DAE3F3" w:themeFill="accent5" w:themeFillTint="32"/>
            <w:vAlign w:val="bottom"/>
          </w:tcPr>
          <w:p w14:paraId="51B01F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DAE3F3" w:themeFill="accent5" w:themeFillTint="32"/>
            <w:vAlign w:val="bottom"/>
          </w:tcPr>
          <w:p w14:paraId="5A7767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DAE3F3" w:themeFill="accent5" w:themeFillTint="32"/>
            <w:vAlign w:val="bottom"/>
          </w:tcPr>
          <w:p w14:paraId="33438F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DAE3F3" w:themeFill="accent5" w:themeFillTint="32"/>
            <w:vAlign w:val="bottom"/>
          </w:tcPr>
          <w:p w14:paraId="41CCA8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1334B9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B89C012">
      <w:pPr>
        <w:rPr>
          <w:rFonts w:hint="eastAsia"/>
        </w:rPr>
      </w:pPr>
      <w:r>
        <w:rPr>
          <w:rFonts w:hint="eastAsia"/>
        </w:rPr>
        <w:tab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8"/>
        <w:gridCol w:w="12556"/>
      </w:tblGrid>
      <w:tr w14:paraId="213CA04D">
        <w:tc>
          <w:tcPr>
            <w:tcW w:w="14894" w:type="dxa"/>
            <w:gridSpan w:val="2"/>
            <w:shd w:val="clear" w:color="auto" w:fill="E7D2FF"/>
          </w:tcPr>
          <w:p w14:paraId="2046A0C4"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治疗史关键信息总结</w:t>
            </w:r>
          </w:p>
        </w:tc>
      </w:tr>
      <w:tr w14:paraId="33EA5DD4">
        <w:tc>
          <w:tcPr>
            <w:tcW w:w="2338" w:type="dxa"/>
          </w:tcPr>
          <w:p w14:paraId="04CD27E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有效方案 (曾获益)</w:t>
            </w:r>
          </w:p>
        </w:tc>
        <w:tc>
          <w:tcPr>
            <w:tcW w:w="12556" w:type="dxa"/>
          </w:tcPr>
          <w:p w14:paraId="573822F9">
            <w:pPr>
              <w:rPr>
                <w:rFonts w:hint="eastAsia"/>
                <w:vertAlign w:val="baseline"/>
              </w:rPr>
            </w:pPr>
          </w:p>
        </w:tc>
      </w:tr>
      <w:tr w14:paraId="342BF79D">
        <w:tc>
          <w:tcPr>
            <w:tcW w:w="2338" w:type="dxa"/>
          </w:tcPr>
          <w:p w14:paraId="3A062A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失败/不耐受方案</w:t>
            </w:r>
          </w:p>
        </w:tc>
        <w:tc>
          <w:tcPr>
            <w:tcW w:w="12556" w:type="dxa"/>
          </w:tcPr>
          <w:p w14:paraId="4CB31715">
            <w:pPr>
              <w:rPr>
                <w:rFonts w:hint="eastAsia"/>
                <w:vertAlign w:val="baseline"/>
              </w:rPr>
            </w:pPr>
          </w:p>
        </w:tc>
      </w:tr>
    </w:tbl>
    <w:p w14:paraId="07DAF2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DFE4DB8">
      <w:pPr>
        <w:rPr>
          <w:rFonts w:hint="eastAsia"/>
        </w:rPr>
      </w:pPr>
    </w:p>
    <w:p w14:paraId="63E5DC80">
      <w:pPr>
        <w:rPr>
          <w:rFonts w:hint="eastAsia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12483"/>
      </w:tblGrid>
      <w:tr w14:paraId="788DD97F">
        <w:tc>
          <w:tcPr>
            <w:tcW w:w="14894" w:type="dxa"/>
            <w:gridSpan w:val="2"/>
            <w:shd w:val="clear" w:color="auto" w:fill="E7D2FF"/>
          </w:tcPr>
          <w:p w14:paraId="5CEE222A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本次问诊详细问题清单</w:t>
            </w:r>
          </w:p>
        </w:tc>
      </w:tr>
      <w:tr w14:paraId="63C2F6D7">
        <w:tc>
          <w:tcPr>
            <w:tcW w:w="2411" w:type="dxa"/>
          </w:tcPr>
          <w:p w14:paraId="67301E15">
            <w:pPr>
              <w:rPr>
                <w:rFonts w:hint="eastAsia"/>
              </w:rPr>
            </w:pPr>
            <w:r>
              <w:rPr>
                <w:rFonts w:hint="eastAsia"/>
              </w:rPr>
              <w:t>优先级高</w:t>
            </w:r>
          </w:p>
        </w:tc>
        <w:tc>
          <w:tcPr>
            <w:tcW w:w="12483" w:type="dxa"/>
          </w:tcPr>
          <w:p w14:paraId="3EA68556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目前的轻度贫血（血红蛋白偏低）是否会影响第二周期的化疗和放疗？是否需要补充促红细胞生成素或通过饮食强力干预？</w:t>
            </w:r>
          </w:p>
          <w:p w14:paraId="67768A99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是否需要针对</w:t>
            </w:r>
            <w:r>
              <w:rPr>
                <w:rFonts w:hint="default"/>
                <w:lang w:val="en-US" w:eastAsia="zh-CN"/>
              </w:rPr>
              <w:t>药物敏感性或遗传性因素进行更高深度的基因检测</w:t>
            </w:r>
            <w:r>
              <w:rPr>
                <w:rFonts w:hint="eastAsia"/>
                <w:lang w:val="en-US" w:eastAsia="zh-CN"/>
              </w:rPr>
              <w:t>？例如PD-L1，MSI等表达检测评估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帕博利珠单抗的针对性</w:t>
            </w:r>
            <w:r>
              <w:rPr>
                <w:rFonts w:hint="eastAsia"/>
                <w:lang w:val="en-US" w:eastAsia="zh-CN"/>
              </w:rPr>
              <w:t>，以及深度NGS检测评估下一步是否有靶向药</w:t>
            </w:r>
          </w:p>
        </w:tc>
      </w:tr>
      <w:tr w14:paraId="0DEB24A5">
        <w:tc>
          <w:tcPr>
            <w:tcW w:w="2411" w:type="dxa"/>
          </w:tcPr>
          <w:p w14:paraId="16BC9F14">
            <w:pPr>
              <w:rPr>
                <w:rFonts w:hint="eastAsia"/>
              </w:rPr>
            </w:pPr>
            <w:r>
              <w:rPr>
                <w:rFonts w:hint="eastAsia"/>
              </w:rPr>
              <w:t>优先级中</w:t>
            </w:r>
            <w:r>
              <w:rPr>
                <w:rFonts w:hint="eastAsia"/>
              </w:rPr>
              <w:tab/>
            </w:r>
          </w:p>
        </w:tc>
        <w:tc>
          <w:tcPr>
            <w:tcW w:w="12483" w:type="dxa"/>
          </w:tcPr>
          <w:p w14:paraId="2A4913B1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后续是否需要复查 SCC（鳞癌相关抗原）或者HPV16是否转阴？如果SCC数值下降，是否能说明目前的‘同步放化疗+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帕博利珠单抗</w:t>
            </w:r>
            <w:r>
              <w:rPr>
                <w:rFonts w:hint="eastAsia"/>
                <w:lang w:val="en-US" w:eastAsia="zh-CN"/>
              </w:rPr>
              <w:t>’方案高度敏感？</w:t>
            </w:r>
          </w:p>
        </w:tc>
      </w:tr>
      <w:tr w14:paraId="55B73D07">
        <w:tc>
          <w:tcPr>
            <w:tcW w:w="2411" w:type="dxa"/>
          </w:tcPr>
          <w:p w14:paraId="2A550DA0">
            <w:pPr>
              <w:rPr>
                <w:rFonts w:hint="eastAsia"/>
              </w:rPr>
            </w:pPr>
            <w:r>
              <w:rPr>
                <w:rFonts w:hint="eastAsia"/>
              </w:rPr>
              <w:t>优先级低</w:t>
            </w:r>
          </w:p>
        </w:tc>
        <w:tc>
          <w:tcPr>
            <w:tcW w:w="12483" w:type="dxa"/>
          </w:tcPr>
          <w:p w14:paraId="55C89267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目前的冲洗频率和药液选择是否合适？同步放化疗期间，阴道黏膜是否有受损，需要加用修复类药物吗？</w:t>
            </w:r>
          </w:p>
        </w:tc>
      </w:tr>
    </w:tbl>
    <w:p w14:paraId="1881C1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13F9A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1774A47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sectPr>
      <w:headerReference r:id="rId3" w:type="default"/>
      <w:footerReference r:id="rId4" w:type="default"/>
      <w:pgSz w:w="16838" w:h="11906" w:orient="landscape"/>
      <w:pgMar w:top="1440" w:right="1080" w:bottom="1247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5B46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1E59B3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1E59B3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40F0C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智愈DAO：帮助每一位病友寻找最有效的治疗方案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C609B2"/>
    <w:multiLevelType w:val="singleLevel"/>
    <w:tmpl w:val="BFC609B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FCB45A"/>
    <w:rsid w:val="3E7BF041"/>
    <w:rsid w:val="5FFF90EB"/>
    <w:rsid w:val="7FE7D015"/>
    <w:rsid w:val="B5BD52DA"/>
    <w:rsid w:val="BF630329"/>
    <w:rsid w:val="C6B7AA49"/>
    <w:rsid w:val="D5EBECBD"/>
    <w:rsid w:val="E7FCB45A"/>
    <w:rsid w:val="F77AA99E"/>
    <w:rsid w:val="FD7F9D05"/>
    <w:rsid w:val="FDEF3B5A"/>
    <w:rsid w:val="FFCEC266"/>
    <w:rsid w:val="FFDF9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font11"/>
    <w:basedOn w:val="6"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8">
    <w:name w:val="font31"/>
    <w:basedOn w:val="6"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2026-01-21T04:07:00Z</dcterms:created>
  <dc:creator>Shannon Cao</dc:creator>
  <cp:lastModifiedBy>Shannon Cao</cp:lastModifiedBy>
  <dcterms:modified xsi:type="dcterms:W3CDTF">2026-01-30T14:10:36Z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2052-12.1.21937.21937</vt:lpwstr>
  </property>
  <property fmtid="{D5CDD505-2E9C-101B-9397-08002B2CF9AE}" pid="3" name="ICV">
    <vt:lpwstr>BCF182122FD593FF97467C69731310D9_43</vt:lpwstr>
  </property>
</Properties>
</file>