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rdcrjn">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Person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Person</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simplenlg.features.Person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Person</w:t>
        </w:r>
      </w:hyperlink>
      <w:r w:rsidDel="00000000" w:rsidR="00000000" w:rsidRPr="00000000">
        <w:rPr>
          <w:rtl w:val="0"/>
        </w:rPr>
        <w:t xml:space="preserve">&gt;</w:t>
      </w:r>
    </w:p>
    <w:p w:rsidR="00000000" w:rsidDel="00000000" w:rsidP="00000000" w:rsidRDefault="00000000" w:rsidRPr="00000000">
      <w:pPr>
        <w:numPr>
          <w:ilvl w:val="0"/>
          <w:numId w:val="20"/>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Person</w:t>
        <w:br w:type="textWrapping"/>
        <w:t xml:space="preserve">extends java.lang.Enum&lt;</w:t>
      </w:r>
      <w:hyperlink r:id="rId20">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an enumeration used to represent the point of view of the narrative. It covers first person, second person and third person. The person is recorded in the Feature.PERSON feature and applies to clauses, coordinated phrases, noun phrases and verb phrases.Version: 4.0 Author: A. Gatt,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1">
              <w:r w:rsidDel="00000000" w:rsidR="00000000" w:rsidRPr="00000000">
                <w:rPr>
                  <w:b w:val="1"/>
                  <w:color w:val="0000ee"/>
                  <w:u w:val="single"/>
                  <w:rtl w:val="0"/>
                </w:rPr>
                <w:t xml:space="preserve">FIRST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first person.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2">
              <w:r w:rsidDel="00000000" w:rsidR="00000000" w:rsidRPr="00000000">
                <w:rPr>
                  <w:b w:val="1"/>
                  <w:color w:val="0000ee"/>
                  <w:u w:val="single"/>
                  <w:rtl w:val="0"/>
                </w:rPr>
                <w:t xml:space="preserve">SECOND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second person.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3">
              <w:r w:rsidDel="00000000" w:rsidR="00000000" w:rsidRPr="00000000">
                <w:rPr>
                  <w:b w:val="1"/>
                  <w:color w:val="0000ee"/>
                  <w:u w:val="single"/>
                  <w:rtl w:val="0"/>
                </w:rPr>
                <w:t xml:space="preserve">THIRD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third person.</w:t>
            </w:r>
          </w:p>
        </w:tc>
      </w:tr>
    </w:tbl>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w:t>
            </w:r>
            <w:hyperlink r:id="rId24">
              <w:r w:rsidDel="00000000" w:rsidR="00000000" w:rsidRPr="00000000">
                <w:rPr>
                  <w:color w:val="0000ee"/>
                  <w:u w:val="single"/>
                  <w:rtl w:val="0"/>
                </w:rPr>
                <w:t xml:space="preserve">Person</w:t>
              </w:r>
            </w:hyperlink>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5">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w:t>
            </w:r>
            <w:hyperlink r:id="rId26">
              <w:r w:rsidDel="00000000" w:rsidR="00000000" w:rsidRPr="00000000">
                <w:rPr>
                  <w:color w:val="0000ee"/>
                  <w:u w:val="single"/>
                  <w:rtl w:val="0"/>
                </w:rPr>
                <w:t xml:space="preserve">Person</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7">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3"/>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4"/>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5"/>
        </w:numPr>
        <w:spacing w:after="0" w:before="0" w:lineRule="auto"/>
        <w:ind w:left="1800" w:firstLine="0"/>
        <w:contextualSpacing w:val="1"/>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28">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 FIRST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first person. First person narrative uses the personal pronouns of </w:t>
      </w:r>
      <w:r w:rsidDel="00000000" w:rsidR="00000000" w:rsidRPr="00000000">
        <w:rPr>
          <w:i w:val="1"/>
          <w:rtl w:val="0"/>
        </w:rPr>
        <w:t xml:space="preserve">I</w:t>
      </w:r>
      <w:r w:rsidDel="00000000" w:rsidR="00000000" w:rsidRPr="00000000">
        <w:rPr>
          <w:rtl w:val="0"/>
        </w:rPr>
        <w:t xml:space="preserve"> and </w:t>
      </w:r>
      <w:r w:rsidDel="00000000" w:rsidR="00000000" w:rsidRPr="00000000">
        <w:rPr>
          <w:i w:val="1"/>
          <w:rtl w:val="0"/>
        </w:rPr>
        <w:t xml:space="preserve">we</w:t>
      </w:r>
      <w:r w:rsidDel="00000000" w:rsidR="00000000" w:rsidRPr="00000000">
        <w:rPr>
          <w:rtl w:val="0"/>
        </w:rPr>
        <w:t xml:space="preserve">.</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2s8eyo1" w:id="9"/>
      <w:bookmarkEnd w:id="9"/>
      <w:r w:rsidDel="00000000" w:rsidR="00000000" w:rsidRPr="00000000">
        <w:rPr>
          <w:rtl w:val="0"/>
        </w:rPr>
        <w:t xml:space="preserve">SECOND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29">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 SECOND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second person. Second person narrative uses the personal pronoun of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17dp8vu" w:id="10"/>
      <w:bookmarkEnd w:id="10"/>
      <w:r w:rsidDel="00000000" w:rsidR="00000000" w:rsidRPr="00000000">
        <w:rPr>
          <w:rtl w:val="0"/>
        </w:rPr>
        <w:t xml:space="preserve">THIRD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0">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 THIRD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to show that the narration is written in the third person. Third person narrative uses the personal pronouns of </w:t>
      </w:r>
      <w:r w:rsidDel="00000000" w:rsidR="00000000" w:rsidRPr="00000000">
        <w:rPr>
          <w:i w:val="1"/>
          <w:rtl w:val="0"/>
        </w:rPr>
        <w:t xml:space="preserve">he</w:t>
      </w:r>
      <w:r w:rsidDel="00000000" w:rsidR="00000000" w:rsidRPr="00000000">
        <w:rPr>
          <w:rtl w:val="0"/>
        </w:rPr>
        <w:t xml:space="preserve">, </w:t>
      </w:r>
      <w:r w:rsidDel="00000000" w:rsidR="00000000" w:rsidRPr="00000000">
        <w:rPr>
          <w:i w:val="1"/>
          <w:rtl w:val="0"/>
        </w:rPr>
        <w:t xml:space="preserve">her</w:t>
      </w:r>
      <w:r w:rsidDel="00000000" w:rsidR="00000000" w:rsidRPr="00000000">
        <w:rPr>
          <w:rtl w:val="0"/>
        </w:rPr>
        <w:t xml:space="preserve"> and </w:t>
      </w:r>
      <w:r w:rsidDel="00000000" w:rsidR="00000000" w:rsidRPr="00000000">
        <w:rPr>
          <w:i w:val="1"/>
          <w:rtl w:val="0"/>
        </w:rPr>
        <w:t xml:space="preserve">they</w:t>
      </w:r>
      <w:r w:rsidDel="00000000" w:rsidR="00000000" w:rsidRPr="00000000">
        <w:rPr>
          <w:rtl w:val="0"/>
        </w:rPr>
        <w:t xml:space="preserve">.</w:t>
      </w:r>
    </w:p>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3rdcrjn" w:id="11"/>
      <w:bookmarkEnd w:id="11"/>
      <w:bookmarkStart w:colFirst="0" w:colLast="0" w:name="id.26in1rg" w:id="12"/>
      <w:bookmarkEnd w:id="12"/>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1">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(Person c : Person.values())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lnxbz9" w:id="13"/>
      <w:bookmarkEnd w:id="13"/>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2">
        <w:r w:rsidDel="00000000" w:rsidR="00000000" w:rsidRPr="00000000">
          <w:rPr>
            <w:rFonts w:ascii="Courier New" w:cs="Courier New" w:eastAsia="Courier New" w:hAnsi="Courier New"/>
            <w:color w:val="0000ee"/>
            <w:u w:val="single"/>
            <w:rtl w:val="0"/>
          </w:rPr>
          <w:t xml:space="preserve">Person</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ind w:left="600" w:firstLine="0"/>
        <w:contextualSpacing w:val="0"/>
      </w:pPr>
      <w:bookmarkStart w:colFirst="0" w:colLast="0" w:name="id.35nkun2" w:id="14"/>
      <w:bookmarkEnd w:id="14"/>
      <w:bookmarkStart w:colFirst="0" w:colLast="0" w:name="id.1ksv4uv" w:id="15"/>
      <w:bookmarkEnd w:id="15"/>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33">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34">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35">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36">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37">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38">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39">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0">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41">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hyperlink r:id="rId42">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0"/>
        </w:numPr>
        <w:ind w:left="600" w:firstLine="0"/>
        <w:contextualSpacing w:val="1"/>
      </w:pPr>
      <w:hyperlink r:id="rId43">
        <w:r w:rsidDel="00000000" w:rsidR="00000000" w:rsidRPr="00000000">
          <w:rPr>
            <w:color w:val="0000ee"/>
            <w:u w:val="single"/>
            <w:rtl w:val="0"/>
          </w:rPr>
          <w:t xml:space="preserve">Frames</w:t>
        </w:r>
      </w:hyperlink>
    </w:p>
    <w:p w:rsidR="00000000" w:rsidDel="00000000" w:rsidP="00000000" w:rsidRDefault="00000000" w:rsidRPr="00000000">
      <w:pPr>
        <w:numPr>
          <w:ilvl w:val="0"/>
          <w:numId w:val="10"/>
        </w:numPr>
        <w:ind w:left="600" w:firstLine="0"/>
        <w:contextualSpacing w:val="1"/>
      </w:pPr>
      <w:hyperlink r:id="rId44">
        <w:r w:rsidDel="00000000" w:rsidR="00000000" w:rsidRPr="00000000">
          <w:rPr>
            <w:color w:val="0000ee"/>
            <w:u w:val="single"/>
            <w:rtl w:val="0"/>
          </w:rPr>
          <w:t xml:space="preserve">No Frames</w:t>
        </w:r>
      </w:hyperlink>
    </w:p>
    <w:p w:rsidR="00000000" w:rsidDel="00000000" w:rsidP="00000000" w:rsidRDefault="00000000" w:rsidRPr="00000000">
      <w:pPr>
        <w:numPr>
          <w:ilvl w:val="0"/>
          <w:numId w:val="11"/>
        </w:numPr>
        <w:ind w:left="600" w:firstLine="0"/>
        <w:contextualSpacing w:val="1"/>
      </w:pPr>
      <w:hyperlink r:id="rId4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2"/>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3"/>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3"/>
        </w:numPr>
        <w:ind w:left="600" w:firstLine="0"/>
        <w:contextualSpacing w:val="1"/>
      </w:pPr>
      <w:hyperlink w:anchor="id.3rdcrjn">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help-doc.html" TargetMode="External"/><Relationship Id="rId38" Type="http://schemas.openxmlformats.org/officeDocument/2006/relationships/hyperlink" Target="http://docs.google.com/index-files/index-1.html" TargetMode="External"/><Relationship Id="rId37" Type="http://schemas.openxmlformats.org/officeDocument/2006/relationships/hyperlink" Target="http://docs.google.com/deprecated-list.html" TargetMode="External"/><Relationship Id="rId19" Type="http://schemas.openxmlformats.org/officeDocument/2006/relationships/hyperlink" Target="http://docs.google.com/simplenlg/features/Person.html" TargetMode="External"/><Relationship Id="rId36" Type="http://schemas.openxmlformats.org/officeDocument/2006/relationships/hyperlink" Target="http://docs.google.com/package-tree.html" TargetMode="External"/><Relationship Id="rId18" Type="http://schemas.openxmlformats.org/officeDocument/2006/relationships/hyperlink" Target="http://docs.google.com/simplenlg/features/Pers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son.html" TargetMode="External"/><Relationship Id="rId15" Type="http://schemas.openxmlformats.org/officeDocument/2006/relationships/hyperlink" Target="http://docs.google.com/index.html?simplenlg/features/Person.html" TargetMode="External"/><Relationship Id="rId14" Type="http://schemas.openxmlformats.org/officeDocument/2006/relationships/hyperlink" Target="http://docs.google.com/simplenlg/features/Tense.html" TargetMode="External"/><Relationship Id="rId30" Type="http://schemas.openxmlformats.org/officeDocument/2006/relationships/hyperlink" Target="http://docs.google.com/simplenlg/features/Person.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eatures/Person.html" TargetMode="External"/><Relationship Id="rId13" Type="http://schemas.openxmlformats.org/officeDocument/2006/relationships/hyperlink" Target="http://docs.google.com/simplenlg/features/NumberAgreem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35" Type="http://schemas.openxmlformats.org/officeDocument/2006/relationships/hyperlink" Target="http://docs.google.com/class-use/Person.html" TargetMode="External"/><Relationship Id="rId32" Type="http://schemas.openxmlformats.org/officeDocument/2006/relationships/hyperlink" Target="http://docs.google.com/simplenlg/features/Person.html" TargetMode="External"/><Relationship Id="rId33" Type="http://schemas.openxmlformats.org/officeDocument/2006/relationships/hyperlink" Target="http://docs.google.com/overview-summary.html" TargetMode="External"/><Relationship Id="rId29" Type="http://schemas.openxmlformats.org/officeDocument/2006/relationships/hyperlink" Target="http://docs.google.com/simplenlg/features/Person.html" TargetMode="External"/><Relationship Id="rId26" Type="http://schemas.openxmlformats.org/officeDocument/2006/relationships/hyperlink" Target="http://docs.google.com/simplenlg/features/Person.html" TargetMode="External"/><Relationship Id="rId25" Type="http://schemas.openxmlformats.org/officeDocument/2006/relationships/hyperlink" Target="http://docs.google.com/simplenlg/features/Person.html#valueOf(java.lang.String)" TargetMode="External"/><Relationship Id="rId28" Type="http://schemas.openxmlformats.org/officeDocument/2006/relationships/hyperlink" Target="http://docs.google.com/simplenlg/features/Person.html" TargetMode="External"/><Relationship Id="rId27" Type="http://schemas.openxmlformats.org/officeDocument/2006/relationships/hyperlink" Target="http://docs.google.com/simplenlg/features/Person.html#values()" TargetMode="External"/><Relationship Id="rId2" Type="http://schemas.openxmlformats.org/officeDocument/2006/relationships/fontTable" Target="fontTable.xml"/><Relationship Id="rId21" Type="http://schemas.openxmlformats.org/officeDocument/2006/relationships/hyperlink" Target="http://docs.google.com/simplenlg/features/Person.html#FIRST" TargetMode="External"/><Relationship Id="rId40" Type="http://schemas.openxmlformats.org/officeDocument/2006/relationships/hyperlink" Target="http://docs.google.com/help-doc.html" TargetMode="External"/><Relationship Id="rId1" Type="http://schemas.openxmlformats.org/officeDocument/2006/relationships/settings" Target="settings.xml"/><Relationship Id="rId22" Type="http://schemas.openxmlformats.org/officeDocument/2006/relationships/hyperlink" Target="http://docs.google.com/simplenlg/features/Person.html#SECOND" TargetMode="External"/><Relationship Id="rId41" Type="http://schemas.openxmlformats.org/officeDocument/2006/relationships/hyperlink" Target="http://docs.google.com/simplenlg/features/NumberAgreement.html" TargetMode="External"/><Relationship Id="rId4" Type="http://schemas.openxmlformats.org/officeDocument/2006/relationships/styles" Target="styles.xml"/><Relationship Id="rId23" Type="http://schemas.openxmlformats.org/officeDocument/2006/relationships/hyperlink" Target="http://docs.google.com/simplenlg/features/Person.html#THIRD" TargetMode="External"/><Relationship Id="rId42" Type="http://schemas.openxmlformats.org/officeDocument/2006/relationships/hyperlink" Target="http://docs.google.com/simplenlg/features/Tense.html" TargetMode="External"/><Relationship Id="rId3" Type="http://schemas.openxmlformats.org/officeDocument/2006/relationships/numbering" Target="numbering.xml"/><Relationship Id="rId24" Type="http://schemas.openxmlformats.org/officeDocument/2006/relationships/hyperlink" Target="http://docs.google.com/simplenlg/features/Person.html" TargetMode="External"/><Relationship Id="rId43" Type="http://schemas.openxmlformats.org/officeDocument/2006/relationships/hyperlink" Target="http://docs.google.com/index.html?simplenlg/features/Person.html" TargetMode="External"/><Relationship Id="rId44" Type="http://schemas.openxmlformats.org/officeDocument/2006/relationships/hyperlink" Target="http://docs.google.com/Person.html" TargetMode="External"/><Relationship Id="rId45" Type="http://schemas.openxmlformats.org/officeDocument/2006/relationships/hyperlink" Target="http://docs.google.com/allclasses-noframe.html" TargetMode="External"/><Relationship Id="rId20" Type="http://schemas.openxmlformats.org/officeDocument/2006/relationships/hyperlink" Target="http://docs.google.com/simplenlg/features/Person.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erson.html" TargetMode="External"/></Relationships>
</file>