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simplenlg.features.InternalFeature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usage of simplenlg.features.InternalFeature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simplenlg/features/InternalFeature.html" TargetMode="External"/><Relationship Id="rId18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overview-summary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ternalFeature.html" TargetMode="External"/><Relationship Id="rId1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features/class-use/InternalFeatur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InternalFeature.html" TargetMode="External"/><Relationship Id="rId25" Type="http://schemas.openxmlformats.org/officeDocument/2006/relationships/hyperlink" Target="http://docs.google.com/index.html?simplenlg/features/class-use/InternalFeature.html" TargetMode="External"/><Relationship Id="rId27" Type="http://schemas.openxmlformats.org/officeDocument/2006/relationships/hyperlink" Target="http://docs.google.com/allclasses-noframe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deprecated-lis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index-files/index-1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help-do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help-doc.html" TargetMode="External"/><Relationship Id="rId20" Type="http://schemas.openxmlformats.org/officeDocument/2006/relationships/hyperlink" Target="http://docs.google.com/package-tree.html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simplenlg/features/InternalFeature.html" TargetMode="External"/></Relationships>
</file>