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simplenlg.features.InterrogativeType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InterrogativeType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InterrogativeType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InterrogativeType.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InterrogativeType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InterrogativeType.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features/InterrogativeType.html" TargetMode="External"/><Relationship Id="rId17" Type="http://schemas.openxmlformats.org/officeDocument/2006/relationships/hyperlink" Target="http://docs.google.com/simplenlg/features/InterrogativeTyp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rogativeType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features/class-use/InterrogativeTyp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features/class-use/InterrogativeType.html" TargetMode="External"/><Relationship Id="rId35" Type="http://schemas.openxmlformats.org/officeDocument/2006/relationships/hyperlink" Target="http://docs.google.com/InterrogativeTyp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eatures/InterrogativeType.html#values()" TargetMode="External"/><Relationship Id="rId28" Type="http://schemas.openxmlformats.org/officeDocument/2006/relationships/hyperlink" Target="http://docs.google.com/simplenlg/features/InterrogativeType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InterrogativeTyp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InterrogativeTyp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InterrogativeType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InterrogativeType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InterrogativeType.html" TargetMode="External"/></Relationships>
</file>