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2">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pStyle w:val="Heading1"/>
        <w:spacing w:after="0" w:before="0" w:lineRule="auto"/>
        <w:contextualSpacing w:val="0"/>
      </w:pPr>
      <w:bookmarkStart w:colFirst="0" w:colLast="0" w:name="id.1fob9te" w:id="2"/>
      <w:bookmarkEnd w:id="2"/>
      <w:hyperlink r:id="rId17">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Package simplenlg.features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features package contains enumerated types that are used for specific features.</w:t>
      </w:r>
    </w:p>
    <w:p w:rsidR="00000000" w:rsidDel="00000000" w:rsidP="00000000" w:rsidRDefault="00000000" w:rsidRPr="00000000">
      <w:pPr>
        <w:contextualSpacing w:val="0"/>
      </w:pPr>
      <w:r w:rsidDel="00000000" w:rsidR="00000000" w:rsidRPr="00000000">
        <w:rPr>
          <w:rtl w:val="0"/>
        </w:rPr>
        <w:t xml:space="preserve">See: </w:t>
      </w:r>
      <w:hyperlink w:anchor="id.3znysh7">
        <w:r w:rsidDel="00000000" w:rsidR="00000000" w:rsidRPr="00000000">
          <w:rPr>
            <w:color w:val="0000ee"/>
            <w:u w:val="single"/>
            <w:rtl w:val="0"/>
          </w:rPr>
          <w:t xml:space="preserve">Description</w:t>
        </w:r>
      </w:hyperlink>
    </w:p>
    <w:p w:rsidR="00000000" w:rsidDel="00000000" w:rsidP="00000000" w:rsidRDefault="00000000" w:rsidRPr="00000000">
      <w:pPr>
        <w:ind w:left="600" w:firstLine="0"/>
        <w:contextualSpacing w:val="0"/>
      </w:pPr>
      <w:hyperlink w:anchor="b.3">
        <w:r w:rsidDel="00000000" w:rsidR="00000000" w:rsidRPr="00000000">
          <w:rPr>
            <w:rtl w:val="0"/>
          </w:rPr>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Class Summary </w:t>
      </w:r>
    </w:p>
    <w:tbl>
      <w:tblPr>
        <w:tblStyle w:val="Table1"/>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Class</w:t>
            </w:r>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18">
              <w:r w:rsidDel="00000000" w:rsidR="00000000" w:rsidRPr="00000000">
                <w:rPr>
                  <w:color w:val="0000ee"/>
                  <w:u w:val="single"/>
                  <w:rtl w:val="0"/>
                </w:rPr>
                <w:t xml:space="preserve">Feature</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class defines a list of features which can be set up users of SimpleNLG.</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19">
              <w:r w:rsidDel="00000000" w:rsidR="00000000" w:rsidRPr="00000000">
                <w:rPr>
                  <w:color w:val="0000ee"/>
                  <w:u w:val="single"/>
                  <w:rtl w:val="0"/>
                </w:rPr>
                <w:t xml:space="preserve">InternalFeature</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class defines a list of features internally used within the SimpleNLG system.</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0">
              <w:r w:rsidDel="00000000" w:rsidR="00000000" w:rsidRPr="00000000">
                <w:rPr>
                  <w:color w:val="0000ee"/>
                  <w:u w:val="single"/>
                  <w:rtl w:val="0"/>
                </w:rPr>
                <w:t xml:space="preserve">LexicalFeature</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class defines a list of constant values used by SimpleNLG lexicons.</w:t>
            </w:r>
          </w:p>
        </w:tc>
      </w:tr>
    </w:tbl>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Enum Summary </w:t>
      </w:r>
    </w:p>
    <w:tbl>
      <w:tblPr>
        <w:tblStyle w:val="Table2"/>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Enum</w:t>
            </w:r>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1">
              <w:r w:rsidDel="00000000" w:rsidR="00000000" w:rsidRPr="00000000">
                <w:rPr>
                  <w:color w:val="0000ee"/>
                  <w:u w:val="single"/>
                  <w:rtl w:val="0"/>
                </w:rPr>
                <w:t xml:space="preserve">ClauseStatus</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is an enumeration of the two different types of clauses used in the SimplNLG package.</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2">
              <w:r w:rsidDel="00000000" w:rsidR="00000000" w:rsidRPr="00000000">
                <w:rPr>
                  <w:color w:val="0000ee"/>
                  <w:u w:val="single"/>
                  <w:rtl w:val="0"/>
                </w:rPr>
                <w:t xml:space="preserve">DiscourseFunction</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An enumeration representing the grammatical function that an element might take.</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3">
              <w:r w:rsidDel="00000000" w:rsidR="00000000" w:rsidRPr="00000000">
                <w:rPr>
                  <w:color w:val="0000ee"/>
                  <w:u w:val="single"/>
                  <w:rtl w:val="0"/>
                </w:rPr>
                <w:t xml:space="preserve">Form</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An enumeration representing the different forms a verb and its associated phrase can take.</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4">
              <w:r w:rsidDel="00000000" w:rsidR="00000000" w:rsidRPr="00000000">
                <w:rPr>
                  <w:color w:val="0000ee"/>
                  <w:u w:val="single"/>
                  <w:rtl w:val="0"/>
                </w:rPr>
                <w:t xml:space="preserve">Gender</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An enumeration representing the gender of the subject of a noun phrase, or the object or subject of a verb phrase.</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5">
              <w:r w:rsidDel="00000000" w:rsidR="00000000" w:rsidRPr="00000000">
                <w:rPr>
                  <w:color w:val="0000ee"/>
                  <w:u w:val="single"/>
                  <w:rtl w:val="0"/>
                </w:rPr>
                <w:t xml:space="preserve">Inflection</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An enumeration representing the different types of morphology patterns used by the basic morphology processor included with SimpleNLG.</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6">
              <w:r w:rsidDel="00000000" w:rsidR="00000000" w:rsidRPr="00000000">
                <w:rPr>
                  <w:color w:val="0000ee"/>
                  <w:u w:val="single"/>
                  <w:rtl w:val="0"/>
                </w:rPr>
                <w:t xml:space="preserve">InterrogativeType</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An enumeration representing the different types of interrogatives or questions that SimpleNLG can realise.</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7">
              <w:r w:rsidDel="00000000" w:rsidR="00000000" w:rsidRPr="00000000">
                <w:rPr>
                  <w:color w:val="0000ee"/>
                  <w:u w:val="single"/>
                  <w:rtl w:val="0"/>
                </w:rPr>
                <w:t xml:space="preserve">NumberAgreement</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An enumeration representing the different types of number agreement.</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8">
              <w:r w:rsidDel="00000000" w:rsidR="00000000" w:rsidRPr="00000000">
                <w:rPr>
                  <w:color w:val="0000ee"/>
                  <w:u w:val="single"/>
                  <w:rtl w:val="0"/>
                </w:rPr>
                <w:t xml:space="preserve">Person</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is an enumeration used to represent the point of view of the narrative.</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29">
              <w:r w:rsidDel="00000000" w:rsidR="00000000" w:rsidRPr="00000000">
                <w:rPr>
                  <w:color w:val="0000ee"/>
                  <w:u w:val="single"/>
                  <w:rtl w:val="0"/>
                </w:rPr>
                <w:t xml:space="preserve">Tense</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An enumeration representing the different types of temporal sense that can be applied to a verb.</w:t>
            </w:r>
          </w:p>
        </w:tc>
      </w:tr>
    </w:tbl>
    <w:p w:rsidR="00000000" w:rsidDel="00000000" w:rsidP="00000000" w:rsidRDefault="00000000" w:rsidRPr="00000000">
      <w:pPr>
        <w:pStyle w:val="Heading2"/>
        <w:contextualSpacing w:val="0"/>
      </w:pPr>
      <w:bookmarkStart w:colFirst="0" w:colLast="0" w:name="id.3znysh7" w:id="3"/>
      <w:bookmarkEnd w:id="3"/>
      <w:r w:rsidDel="00000000" w:rsidR="00000000" w:rsidRPr="00000000">
        <w:rPr>
          <w:rtl w:val="0"/>
        </w:rPr>
        <w:t xml:space="preserve">Package simplenlg.features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features package contains enumerated types that are used for specific features. A complete list of currently implemented features is given in the abstract class Feature. Particular attention should be paid to using the correct type with these features and, when introducing new features, that existing feature names are not overwritten.</w:t>
      </w:r>
    </w:p>
    <w:p w:rsidR="00000000" w:rsidDel="00000000" w:rsidP="00000000" w:rsidRDefault="00000000" w:rsidRPr="00000000">
      <w:pPr>
        <w:contextualSpacing w:val="0"/>
      </w:pPr>
      <w:r w:rsidDel="00000000" w:rsidR="00000000" w:rsidRPr="00000000">
        <w:rPr>
          <w:rtl w:val="0"/>
        </w:rPr>
        <w:t xml:space="preserve">Features are stored as a Map&lt;String, Object&gt; on the NLGElement. The base way of accessing features is through the getFeature() and setFeature() methods. There are additional convenience methods for converting the feature object to a particular type. In addition, classes extending from NLGElement may have additional convenience methods for accessing features.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p w:rsidR="00000000" w:rsidDel="00000000" w:rsidP="00000000" w:rsidRDefault="00000000" w:rsidRPr="00000000">
      <w:pPr>
        <w:ind w:left="600" w:firstLine="0"/>
        <w:contextualSpacing w:val="0"/>
      </w:pPr>
      <w:bookmarkStart w:colFirst="0" w:colLast="0" w:name="id.2et92p0" w:id="4"/>
      <w:bookmarkEnd w:id="4"/>
      <w:bookmarkStart w:colFirst="0" w:colLast="0" w:name="id.tyjcwt" w:id="5"/>
      <w:bookmarkEnd w:id="5"/>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r:id="rId30">
        <w:r w:rsidDel="00000000" w:rsidR="00000000" w:rsidRPr="00000000">
          <w:rPr>
            <w:color w:val="0000ee"/>
            <w:u w:val="single"/>
            <w:rtl w:val="0"/>
          </w:rPr>
          <w:t xml:space="preserve">Overview</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4"/>
        </w:numPr>
        <w:ind w:left="600" w:firstLine="0"/>
        <w:contextualSpacing w:val="1"/>
      </w:pPr>
      <w:hyperlink r:id="rId31">
        <w:r w:rsidDel="00000000" w:rsidR="00000000" w:rsidRPr="00000000">
          <w:rPr>
            <w:color w:val="0000ee"/>
            <w:u w:val="single"/>
            <w:rtl w:val="0"/>
          </w:rPr>
          <w:t xml:space="preserve">Use</w:t>
        </w:r>
      </w:hyperlink>
    </w:p>
    <w:p w:rsidR="00000000" w:rsidDel="00000000" w:rsidP="00000000" w:rsidRDefault="00000000" w:rsidRPr="00000000">
      <w:pPr>
        <w:numPr>
          <w:ilvl w:val="0"/>
          <w:numId w:val="4"/>
        </w:numPr>
        <w:ind w:left="600" w:firstLine="0"/>
        <w:contextualSpacing w:val="1"/>
      </w:pPr>
      <w:hyperlink r:id="rId32">
        <w:r w:rsidDel="00000000" w:rsidR="00000000" w:rsidRPr="00000000">
          <w:rPr>
            <w:color w:val="0000ee"/>
            <w:u w:val="single"/>
            <w:rtl w:val="0"/>
          </w:rPr>
          <w:t xml:space="preserve">Tree</w:t>
        </w:r>
      </w:hyperlink>
    </w:p>
    <w:p w:rsidR="00000000" w:rsidDel="00000000" w:rsidP="00000000" w:rsidRDefault="00000000" w:rsidRPr="00000000">
      <w:pPr>
        <w:numPr>
          <w:ilvl w:val="0"/>
          <w:numId w:val="4"/>
        </w:numPr>
        <w:ind w:left="600" w:firstLine="0"/>
        <w:contextualSpacing w:val="1"/>
      </w:pPr>
      <w:hyperlink r:id="rId33">
        <w:r w:rsidDel="00000000" w:rsidR="00000000" w:rsidRPr="00000000">
          <w:rPr>
            <w:color w:val="0000ee"/>
            <w:u w:val="single"/>
            <w:rtl w:val="0"/>
          </w:rPr>
          <w:t xml:space="preserve">Deprecated</w:t>
        </w:r>
      </w:hyperlink>
    </w:p>
    <w:p w:rsidR="00000000" w:rsidDel="00000000" w:rsidP="00000000" w:rsidRDefault="00000000" w:rsidRPr="00000000">
      <w:pPr>
        <w:numPr>
          <w:ilvl w:val="0"/>
          <w:numId w:val="4"/>
        </w:numPr>
        <w:ind w:left="600" w:firstLine="0"/>
        <w:contextualSpacing w:val="1"/>
      </w:pPr>
      <w:hyperlink r:id="rId34">
        <w:r w:rsidDel="00000000" w:rsidR="00000000" w:rsidRPr="00000000">
          <w:rPr>
            <w:color w:val="0000ee"/>
            <w:u w:val="single"/>
            <w:rtl w:val="0"/>
          </w:rPr>
          <w:t xml:space="preserve">Index</w:t>
        </w:r>
      </w:hyperlink>
    </w:p>
    <w:p w:rsidR="00000000" w:rsidDel="00000000" w:rsidP="00000000" w:rsidRDefault="00000000" w:rsidRPr="00000000">
      <w:pPr>
        <w:numPr>
          <w:ilvl w:val="0"/>
          <w:numId w:val="4"/>
        </w:numPr>
        <w:ind w:left="600" w:firstLine="0"/>
        <w:contextualSpacing w:val="1"/>
      </w:pPr>
      <w:hyperlink r:id="rId35">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36">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37">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3"/>
        </w:numPr>
        <w:ind w:left="600" w:firstLine="0"/>
        <w:contextualSpacing w:val="1"/>
      </w:pPr>
      <w:hyperlink r:id="rId38">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2"/>
        </w:numPr>
        <w:ind w:left="600" w:firstLine="0"/>
        <w:contextualSpacing w:val="1"/>
      </w:pPr>
      <w:hyperlink r:id="rId39">
        <w:r w:rsidDel="00000000" w:rsidR="00000000" w:rsidRPr="00000000">
          <w:rPr>
            <w:color w:val="0000ee"/>
            <w:u w:val="single"/>
            <w:rtl w:val="0"/>
          </w:rPr>
          <w:t xml:space="preserve">Frames</w:t>
        </w:r>
      </w:hyperlink>
    </w:p>
    <w:p w:rsidR="00000000" w:rsidDel="00000000" w:rsidP="00000000" w:rsidRDefault="00000000" w:rsidRPr="00000000">
      <w:pPr>
        <w:numPr>
          <w:ilvl w:val="0"/>
          <w:numId w:val="2"/>
        </w:numPr>
        <w:ind w:left="600" w:firstLine="0"/>
        <w:contextualSpacing w:val="1"/>
      </w:pPr>
      <w:hyperlink r:id="rId40">
        <w:r w:rsidDel="00000000" w:rsidR="00000000" w:rsidRPr="00000000">
          <w:rPr>
            <w:color w:val="0000ee"/>
            <w:u w:val="single"/>
            <w:rtl w:val="0"/>
          </w:rPr>
          <w:t xml:space="preserve">No Frames</w:t>
        </w:r>
      </w:hyperlink>
    </w:p>
    <w:p w:rsidR="00000000" w:rsidDel="00000000" w:rsidP="00000000" w:rsidRDefault="00000000" w:rsidRPr="00000000">
      <w:pPr>
        <w:numPr>
          <w:ilvl w:val="0"/>
          <w:numId w:val="1"/>
        </w:numPr>
        <w:ind w:left="600" w:firstLine="0"/>
        <w:contextualSpacing w:val="1"/>
      </w:pPr>
      <w:hyperlink r:id="rId41">
        <w:r w:rsidDel="00000000" w:rsidR="00000000" w:rsidRPr="00000000">
          <w:rPr>
            <w:color w:val="0000ee"/>
            <w:u w:val="single"/>
            <w:rtl w:val="0"/>
          </w:rPr>
          <w:t xml:space="preserve">All Classes</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index.html?simplenlg/features/package-summary.html" TargetMode="External"/><Relationship Id="rId38" Type="http://schemas.openxmlformats.org/officeDocument/2006/relationships/hyperlink" Target="http://docs.google.com/simplenlg/format/english/package-summary.html" TargetMode="External"/><Relationship Id="rId37" Type="http://schemas.openxmlformats.org/officeDocument/2006/relationships/hyperlink" Target="http://docs.google.com/simplenlg/aggregation/package-summary.html" TargetMode="External"/><Relationship Id="rId19" Type="http://schemas.openxmlformats.org/officeDocument/2006/relationships/hyperlink" Target="http://docs.google.com/simplenlg/features/InternalFeature.html" TargetMode="External"/><Relationship Id="rId36" Type="http://schemas.openxmlformats.org/officeDocument/2006/relationships/hyperlink" Target="http://docs.google.com/help-doc.html" TargetMode="External"/><Relationship Id="rId18" Type="http://schemas.openxmlformats.org/officeDocument/2006/relationships/hyperlink" Target="http://docs.google.com/simplenlg/features/Featur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simplenlg/features/package-summary.html" TargetMode="External"/><Relationship Id="rId30" Type="http://schemas.openxmlformats.org/officeDocument/2006/relationships/hyperlink" Target="http://docs.google.com/overview-summary.html" TargetMode="External"/><Relationship Id="rId12" Type="http://schemas.openxmlformats.org/officeDocument/2006/relationships/hyperlink" Target="http://docs.google.com/simplenlg/aggregation/package-summary.html" TargetMode="External"/><Relationship Id="rId31" Type="http://schemas.openxmlformats.org/officeDocument/2006/relationships/hyperlink" Target="http://docs.google.com/package-use.html" TargetMode="External"/><Relationship Id="rId13" Type="http://schemas.openxmlformats.org/officeDocument/2006/relationships/hyperlink" Target="http://docs.google.com/simplenlg/format/english/package-summary.html" TargetMode="External"/><Relationship Id="rId1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index-files/index-1.html" TargetMode="External"/><Relationship Id="rId35" Type="http://schemas.openxmlformats.org/officeDocument/2006/relationships/hyperlink" Target="http://docs.google.com/help-doc.html" TargetMode="External"/><Relationship Id="rId32" Type="http://schemas.openxmlformats.org/officeDocument/2006/relationships/hyperlink" Target="http://docs.google.com/package-tree.html" TargetMode="External"/><Relationship Id="rId33" Type="http://schemas.openxmlformats.org/officeDocument/2006/relationships/hyperlink" Target="http://docs.google.com/deprecated-list.html" TargetMode="External"/><Relationship Id="rId29" Type="http://schemas.openxmlformats.org/officeDocument/2006/relationships/hyperlink" Target="http://docs.google.com/simplenlg/features/Tense.html" TargetMode="External"/><Relationship Id="rId26" Type="http://schemas.openxmlformats.org/officeDocument/2006/relationships/hyperlink" Target="http://docs.google.com/simplenlg/features/InterrogativeType.html" TargetMode="External"/><Relationship Id="rId25" Type="http://schemas.openxmlformats.org/officeDocument/2006/relationships/hyperlink" Target="http://docs.google.com/simplenlg/features/Inflection.html" TargetMode="External"/><Relationship Id="rId28" Type="http://schemas.openxmlformats.org/officeDocument/2006/relationships/hyperlink" Target="http://docs.google.com/simplenlg/features/Person.html" TargetMode="External"/><Relationship Id="rId27" Type="http://schemas.openxmlformats.org/officeDocument/2006/relationships/hyperlink" Target="http://docs.google.com/simplenlg/features/NumberAgreement.html" TargetMode="External"/><Relationship Id="rId2" Type="http://schemas.openxmlformats.org/officeDocument/2006/relationships/fontTable" Target="fontTable.xml"/><Relationship Id="rId21" Type="http://schemas.openxmlformats.org/officeDocument/2006/relationships/hyperlink" Target="http://docs.google.com/simplenlg/features/ClauseStatus.html" TargetMode="External"/><Relationship Id="rId40" Type="http://schemas.openxmlformats.org/officeDocument/2006/relationships/hyperlink" Target="http://docs.google.com/package-summary.html" TargetMode="External"/><Relationship Id="rId1" Type="http://schemas.openxmlformats.org/officeDocument/2006/relationships/settings" Target="settings.xml"/><Relationship Id="rId22" Type="http://schemas.openxmlformats.org/officeDocument/2006/relationships/hyperlink" Target="http://docs.google.com/simplenlg/features/DiscourseFunction.html" TargetMode="External"/><Relationship Id="rId41" Type="http://schemas.openxmlformats.org/officeDocument/2006/relationships/hyperlink" Target="http://docs.google.com/allclasses-noframe.html" TargetMode="External"/><Relationship Id="rId4" Type="http://schemas.openxmlformats.org/officeDocument/2006/relationships/styles" Target="styles.xml"/><Relationship Id="rId23" Type="http://schemas.openxmlformats.org/officeDocument/2006/relationships/hyperlink" Target="http://docs.google.com/simplenlg/features/Form.html" TargetMode="External"/><Relationship Id="rId3" Type="http://schemas.openxmlformats.org/officeDocument/2006/relationships/numbering" Target="numbering.xml"/><Relationship Id="rId24" Type="http://schemas.openxmlformats.org/officeDocument/2006/relationships/hyperlink" Target="http://docs.google.com/simplenlg/features/Gender.html" TargetMode="External"/><Relationship Id="rId20" Type="http://schemas.openxmlformats.org/officeDocument/2006/relationships/hyperlink" Target="http://docs.google.com/simplenlg/features/LexicalFeature.html" TargetMode="External"/><Relationship Id="rId9" Type="http://schemas.openxmlformats.org/officeDocument/2006/relationships/hyperlink" Target="http://docs.google.com/index-files/index-1.html" TargetMode="External"/><Relationship Id="rId6" Type="http://schemas.openxmlformats.org/officeDocument/2006/relationships/hyperlink" Target="http://docs.google.com/package-use.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deprecated-list.html" TargetMode="External"/><Relationship Id="rId7" Type="http://schemas.openxmlformats.org/officeDocument/2006/relationships/hyperlink" Target="http://docs.google.com/package-tree.html" TargetMode="External"/></Relationships>
</file>