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simplenlg.server.SimpleClient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 usage of simplenlg.server.SimpleClient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3znysh7" w:id="3"/>
      <w:bookmarkEnd w:id="3"/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2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://docs.google.com/simplenlg/server/SimpleClient.html" TargetMode="External"/><Relationship Id="rId18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overview-summary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impleClient.html" TargetMode="External"/><Relationship Id="rId1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simplenlg/server/class-use/SimpleClient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SimpleClient.html" TargetMode="External"/><Relationship Id="rId25" Type="http://schemas.openxmlformats.org/officeDocument/2006/relationships/hyperlink" Target="http://docs.google.com/index.html?simplenlg/server/class-use/SimpleClient.html" TargetMode="External"/><Relationship Id="rId27" Type="http://schemas.openxmlformats.org/officeDocument/2006/relationships/hyperlink" Target="http://docs.google.com/allclasses-noframe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deprecated-list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index-files/index-1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help-doc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package-tree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simplenlg/server/SimpleClient.html" TargetMode="External"/></Relationships>
</file>