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203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QWORKS STYLE GUIDE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0" w:right="50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LARGE HEADERS/QWORKS LOGO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porter bold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38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SUB-HEADERS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48"/>
          <w:szCs w:val="48"/>
          <w:u w:val="none"/>
          <w:shd w:fill="auto" w:val="clear"/>
          <w:vertAlign w:val="baseline"/>
          <w:rtl w:val="0"/>
        </w:rPr>
        <w:t xml:space="preserve">CENTURY GOTHIC/BOLD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BODY TEXT AND LABELS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CENTURY GOTHIC/REGULAR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7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DENSE BODY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GEORGIA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baseline"/>
          <w:rtl w:val="0"/>
        </w:rPr>
        <w:t xml:space="preserve">QUANTUM 123456789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196.80000000000007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#b6e1dd #f0592b #f79224 #fbb21d #3d3d3c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5.2" w:line="276" w:lineRule="auto"/>
        <w:ind w:left="259.1999999999999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#6fccdd #3d3d3c # #000000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9.2" w:line="276" w:lineRule="auto"/>
        <w:ind w:left="259.1999999999999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#6fccdd #3d3d3c # #000000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0.4" w:line="276" w:lineRule="auto"/>
        <w:ind w:left="206.39999999999986" w:right="-2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#aeddd6 #6cc7b9 #2b937e #3d3d3c #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8.8" w:line="276" w:lineRule="auto"/>
        <w:ind w:left="206.39999999999986" w:right="-2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#aeddd6 #6cc7b9 #2b937e #3d3d3c #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6.7999999999993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#212120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