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CA66" w14:textId="77777777" w:rsidR="00626AC8" w:rsidRPr="00986FD4" w:rsidRDefault="00626AC8" w:rsidP="00626AC8">
      <w:pPr>
        <w:spacing w:line="360" w:lineRule="auto"/>
        <w:jc w:val="right"/>
        <w:rPr>
          <w:rFonts w:ascii="Times New Roman" w:hAnsi="Times New Roman" w:cs="Times New Roman"/>
          <w:sz w:val="24"/>
          <w:szCs w:val="24"/>
        </w:rPr>
      </w:pPr>
      <w:r w:rsidRPr="00986FD4">
        <w:rPr>
          <w:rFonts w:ascii="Times New Roman" w:hAnsi="Times New Roman" w:cs="Times New Roman"/>
          <w:sz w:val="24"/>
          <w:szCs w:val="24"/>
        </w:rPr>
        <w:t>Zackery Bradley</w:t>
      </w:r>
    </w:p>
    <w:p w14:paraId="360B5684" w14:textId="77777777" w:rsidR="00626AC8" w:rsidRPr="00986FD4" w:rsidRDefault="00626AC8" w:rsidP="00626AC8">
      <w:pPr>
        <w:spacing w:line="360" w:lineRule="auto"/>
        <w:jc w:val="right"/>
        <w:rPr>
          <w:rFonts w:ascii="Times New Roman" w:hAnsi="Times New Roman" w:cs="Times New Roman"/>
          <w:sz w:val="24"/>
          <w:szCs w:val="24"/>
        </w:rPr>
      </w:pPr>
      <w:r w:rsidRPr="00986FD4">
        <w:rPr>
          <w:rFonts w:ascii="Times New Roman" w:hAnsi="Times New Roman" w:cs="Times New Roman"/>
          <w:sz w:val="24"/>
          <w:szCs w:val="24"/>
        </w:rPr>
        <w:t>BAN 525</w:t>
      </w:r>
    </w:p>
    <w:p w14:paraId="6C02C6EA" w14:textId="77777777" w:rsidR="00626AC8" w:rsidRPr="00986FD4" w:rsidRDefault="00626AC8" w:rsidP="00626AC8">
      <w:pPr>
        <w:spacing w:line="360" w:lineRule="auto"/>
        <w:jc w:val="right"/>
        <w:rPr>
          <w:rFonts w:ascii="Times New Roman" w:hAnsi="Times New Roman" w:cs="Times New Roman"/>
          <w:sz w:val="24"/>
          <w:szCs w:val="24"/>
        </w:rPr>
      </w:pPr>
      <w:r w:rsidRPr="00986FD4">
        <w:rPr>
          <w:rFonts w:ascii="Times New Roman" w:hAnsi="Times New Roman" w:cs="Times New Roman"/>
          <w:sz w:val="24"/>
          <w:szCs w:val="24"/>
        </w:rPr>
        <w:t>20220220</w:t>
      </w:r>
    </w:p>
    <w:p w14:paraId="4195EB5B" w14:textId="77777777" w:rsidR="00626AC8" w:rsidRPr="00986FD4" w:rsidRDefault="00626AC8" w:rsidP="00626AC8">
      <w:pPr>
        <w:spacing w:line="360" w:lineRule="auto"/>
        <w:jc w:val="center"/>
        <w:rPr>
          <w:rFonts w:ascii="Times New Roman" w:hAnsi="Times New Roman" w:cs="Times New Roman"/>
          <w:sz w:val="24"/>
          <w:szCs w:val="24"/>
          <w:u w:val="single"/>
        </w:rPr>
      </w:pPr>
      <w:r w:rsidRPr="00986FD4">
        <w:rPr>
          <w:rFonts w:ascii="Times New Roman" w:hAnsi="Times New Roman" w:cs="Times New Roman"/>
          <w:sz w:val="24"/>
          <w:szCs w:val="24"/>
          <w:u w:val="single"/>
        </w:rPr>
        <w:t>Model 5 Assignment 1</w:t>
      </w:r>
    </w:p>
    <w:p w14:paraId="2F72CEB6" w14:textId="7D6B1BA1" w:rsidR="00626AC8" w:rsidRDefault="00626AC8" w:rsidP="00626AC8">
      <w:pPr>
        <w:spacing w:line="360" w:lineRule="auto"/>
        <w:rPr>
          <w:rFonts w:ascii="Times New Roman" w:hAnsi="Times New Roman" w:cs="Times New Roman"/>
          <w:sz w:val="24"/>
          <w:szCs w:val="24"/>
        </w:rPr>
      </w:pPr>
      <w:r>
        <w:rPr>
          <w:rFonts w:ascii="Times New Roman" w:hAnsi="Times New Roman" w:cs="Times New Roman"/>
          <w:sz w:val="24"/>
          <w:szCs w:val="24"/>
        </w:rPr>
        <w:t xml:space="preserve">On behalf of this </w:t>
      </w:r>
      <w:r w:rsidR="00D626D3">
        <w:rPr>
          <w:rFonts w:ascii="Times New Roman" w:hAnsi="Times New Roman" w:cs="Times New Roman"/>
          <w:sz w:val="24"/>
          <w:szCs w:val="24"/>
        </w:rPr>
        <w:t>week’s</w:t>
      </w:r>
      <w:r>
        <w:rPr>
          <w:rFonts w:ascii="Times New Roman" w:hAnsi="Times New Roman" w:cs="Times New Roman"/>
          <w:sz w:val="24"/>
          <w:szCs w:val="24"/>
        </w:rPr>
        <w:t xml:space="preserve"> assignment, we have been tasked with examining the pricing of diamonds. Traditionally, diamonds are normally priced by utilizing the “4 C’s” strategy, which includes the cut, clarity, color, and carat weight of the diamond. In our dataset, we will add an </w:t>
      </w:r>
      <w:r w:rsidR="00D626D3">
        <w:rPr>
          <w:rFonts w:ascii="Times New Roman" w:hAnsi="Times New Roman" w:cs="Times New Roman"/>
          <w:sz w:val="24"/>
          <w:szCs w:val="24"/>
        </w:rPr>
        <w:t>additional criterion</w:t>
      </w:r>
      <w:r>
        <w:rPr>
          <w:rFonts w:ascii="Times New Roman" w:hAnsi="Times New Roman" w:cs="Times New Roman"/>
          <w:sz w:val="24"/>
          <w:szCs w:val="24"/>
        </w:rPr>
        <w:t xml:space="preserve"> by also examining the diamonds depth. A diamonds cut is measured of how well-proportioned the </w:t>
      </w:r>
      <w:r w:rsidR="00D626D3">
        <w:rPr>
          <w:rFonts w:ascii="Times New Roman" w:hAnsi="Times New Roman" w:cs="Times New Roman"/>
          <w:sz w:val="24"/>
          <w:szCs w:val="24"/>
        </w:rPr>
        <w:t>dimension</w:t>
      </w:r>
      <w:r>
        <w:rPr>
          <w:rFonts w:ascii="Times New Roman" w:hAnsi="Times New Roman" w:cs="Times New Roman"/>
          <w:sz w:val="24"/>
          <w:szCs w:val="24"/>
        </w:rPr>
        <w:t xml:space="preserve"> of the diamond is, and how these positions create the sparkle and brilliance of the cut. Color is widely considered a significantly important characteristic of a </w:t>
      </w:r>
      <w:r w:rsidR="00D626D3">
        <w:rPr>
          <w:rFonts w:ascii="Times New Roman" w:hAnsi="Times New Roman" w:cs="Times New Roman"/>
          <w:sz w:val="24"/>
          <w:szCs w:val="24"/>
        </w:rPr>
        <w:t>diamond or</w:t>
      </w:r>
      <w:r>
        <w:rPr>
          <w:rFonts w:ascii="Times New Roman" w:hAnsi="Times New Roman" w:cs="Times New Roman"/>
          <w:sz w:val="24"/>
          <w:szCs w:val="24"/>
        </w:rPr>
        <w:t xml:space="preserve"> lack </w:t>
      </w:r>
      <w:r w:rsidR="00D626D3">
        <w:rPr>
          <w:rFonts w:ascii="Times New Roman" w:hAnsi="Times New Roman" w:cs="Times New Roman"/>
          <w:sz w:val="24"/>
          <w:szCs w:val="24"/>
        </w:rPr>
        <w:t>thereof</w:t>
      </w:r>
      <w:r>
        <w:rPr>
          <w:rFonts w:ascii="Times New Roman" w:hAnsi="Times New Roman" w:cs="Times New Roman"/>
          <w:sz w:val="24"/>
          <w:szCs w:val="24"/>
        </w:rPr>
        <w:t xml:space="preserve">. Diamonds that have less color are considered a higher grade and are thus more expensive. The clarity of a diamond is </w:t>
      </w:r>
      <w:r w:rsidR="00CA0B77">
        <w:rPr>
          <w:rFonts w:ascii="Times New Roman" w:hAnsi="Times New Roman" w:cs="Times New Roman"/>
          <w:sz w:val="24"/>
          <w:szCs w:val="24"/>
        </w:rPr>
        <w:t>measured</w:t>
      </w:r>
      <w:r>
        <w:rPr>
          <w:rFonts w:ascii="Times New Roman" w:hAnsi="Times New Roman" w:cs="Times New Roman"/>
          <w:sz w:val="24"/>
          <w:szCs w:val="24"/>
        </w:rPr>
        <w:t xml:space="preserve"> by the purity of rarity of the stone. The clarity is measured by a graded scale that ranges from imperfect (|1, |2, |3) to flawless (FL). The weight of a diamond is standard, as the bigger the diamond, the more expensive the stone. The weight of a diamond is typically what drives the price point. Lastly, the depth of a diamond is a measurement of how well the stone refracts </w:t>
      </w:r>
      <w:proofErr w:type="gramStart"/>
      <w:r>
        <w:rPr>
          <w:rFonts w:ascii="Times New Roman" w:hAnsi="Times New Roman" w:cs="Times New Roman"/>
          <w:sz w:val="24"/>
          <w:szCs w:val="24"/>
        </w:rPr>
        <w:t>light.</w:t>
      </w:r>
      <w:proofErr w:type="gramEnd"/>
      <w:r>
        <w:rPr>
          <w:rFonts w:ascii="Times New Roman" w:hAnsi="Times New Roman" w:cs="Times New Roman"/>
          <w:sz w:val="24"/>
          <w:szCs w:val="24"/>
        </w:rPr>
        <w:t xml:space="preserve"> Essentially, the depth of a diamond is how well the diamond sparkles. Diamond depth can be somewhat tricky to evaluate, as diamonds that are too shallow will have light simply pass through them while diamonds that are too deep will have poor sparkle and make the stone appear smaller. It is believed that by following conventional wisdom, we can make a hypothesis that the prices of the diamond </w:t>
      </w:r>
      <w:r w:rsidR="00D626D3">
        <w:rPr>
          <w:rFonts w:ascii="Times New Roman" w:hAnsi="Times New Roman" w:cs="Times New Roman"/>
          <w:sz w:val="24"/>
          <w:szCs w:val="24"/>
        </w:rPr>
        <w:t>will be</w:t>
      </w:r>
      <w:r>
        <w:rPr>
          <w:rFonts w:ascii="Times New Roman" w:hAnsi="Times New Roman" w:cs="Times New Roman"/>
          <w:sz w:val="24"/>
          <w:szCs w:val="24"/>
        </w:rPr>
        <w:t xml:space="preserve"> largely affected by the overall weight of the diamond, followed by the color and clarity. </w:t>
      </w:r>
      <w:r w:rsidRPr="006046A0">
        <w:rPr>
          <w:sz w:val="24"/>
          <w:szCs w:val="24"/>
        </w:rPr>
        <w:t>Throughout our analysis, we will be using various methods to ensure we get the best model for the data in question. These methods will include our standard</w:t>
      </w:r>
      <w:r>
        <w:rPr>
          <w:sz w:val="24"/>
          <w:szCs w:val="24"/>
        </w:rPr>
        <w:t xml:space="preserve"> method, Ordinary Logistic Regression (OLS)</w:t>
      </w:r>
      <w:r>
        <w:rPr>
          <w:rFonts w:ascii="Times New Roman" w:hAnsi="Times New Roman" w:cs="Times New Roman"/>
          <w:sz w:val="24"/>
          <w:szCs w:val="24"/>
        </w:rPr>
        <w:t>, in addition to using Neural Network (NN) and Complex Neural Network (CNN) methodology.</w:t>
      </w:r>
      <w:r w:rsidRPr="0092511B">
        <w:rPr>
          <w:rFonts w:ascii="Times New Roman" w:hAnsi="Times New Roman" w:cs="Times New Roman"/>
          <w:sz w:val="24"/>
          <w:szCs w:val="24"/>
        </w:rPr>
        <w:t xml:space="preserve"> </w:t>
      </w:r>
      <w:r>
        <w:rPr>
          <w:rFonts w:ascii="Times New Roman" w:hAnsi="Times New Roman" w:cs="Times New Roman"/>
          <w:sz w:val="24"/>
          <w:szCs w:val="24"/>
        </w:rPr>
        <w:t xml:space="preserve">OLS is typically used as a method for estimating the parameters that are unknown in the model. This method helps us to find the relationships between independent and dependent variables. NN models are considered very flexible algorithms that are able to model </w:t>
      </w:r>
      <w:r w:rsidR="00EC3C32">
        <w:rPr>
          <w:rFonts w:ascii="Times New Roman" w:hAnsi="Times New Roman" w:cs="Times New Roman"/>
          <w:sz w:val="24"/>
          <w:szCs w:val="24"/>
        </w:rPr>
        <w:t>extraordinarily complex</w:t>
      </w:r>
      <w:r>
        <w:rPr>
          <w:rFonts w:ascii="Times New Roman" w:hAnsi="Times New Roman" w:cs="Times New Roman"/>
          <w:sz w:val="24"/>
          <w:szCs w:val="24"/>
        </w:rPr>
        <w:t xml:space="preserve"> relations between model inputs in outputs. Each NN consists of an unput layer, in addition to one or more hidden layers followed by an output layer. The hidden layers are made up of one or </w:t>
      </w:r>
      <w:r>
        <w:rPr>
          <w:rFonts w:ascii="Times New Roman" w:hAnsi="Times New Roman" w:cs="Times New Roman"/>
          <w:sz w:val="24"/>
          <w:szCs w:val="24"/>
        </w:rPr>
        <w:lastRenderedPageBreak/>
        <w:t xml:space="preserve">more nodes, in which a linear combination of the input variables </w:t>
      </w:r>
      <w:r w:rsidR="00D626D3">
        <w:rPr>
          <w:rFonts w:ascii="Times New Roman" w:hAnsi="Times New Roman" w:cs="Times New Roman"/>
          <w:sz w:val="24"/>
          <w:szCs w:val="24"/>
        </w:rPr>
        <w:t>is</w:t>
      </w:r>
      <w:r>
        <w:rPr>
          <w:rFonts w:ascii="Times New Roman" w:hAnsi="Times New Roman" w:cs="Times New Roman"/>
          <w:sz w:val="24"/>
          <w:szCs w:val="24"/>
        </w:rPr>
        <w:t xml:space="preserve"> transformed. In JMP Pro, there are three types of functions that can be utilized in a NN model consisting of </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 xml:space="preserve">, Linear, and Gaussian. </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 a hyperbolic tangent function, is similar to the shape of a logistic function. Linear is similar to a linear regression model. Gaussian is a bell-shaped function, which is similar to the normal distribution density function.</w:t>
      </w:r>
    </w:p>
    <w:p w14:paraId="6270EEFC" w14:textId="77777777" w:rsidR="00626AC8" w:rsidRDefault="00626AC8" w:rsidP="00626AC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Analysis and Model Comparison</w:t>
      </w:r>
    </w:p>
    <w:p w14:paraId="218D35B5" w14:textId="64DFF6A9" w:rsidR="00626AC8" w:rsidRDefault="00626AC8" w:rsidP="00626AC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our predominant methods as previously stated, OLS can be described as the “workhorse” method and is a standard operating tool in statistics analysis. On the contrary, OLS tends to produce estimates with a great deal of variance regarding big data. In all, OLS typically generates poor forecasts. Our second method, NN also comes with its own list of advantages and shortcomings. As previously mentioned, NN typically has good predictive ability and is capable of capturing complex relationships. However, NN has no variable selection mechanism, so utilizing JMP’s variable importance is vital when identifying the most important variables in the data. Procedurally, we will be employing a cross-validation analysis. Cross-validation techniques are built on the concept of leaving out a part of the data out of the estimation process as a buffer. As the predictions of the model stop improving as the data holdout process occurs, model growth then stops, and estimates are obtained. This creates a ‘split’ in the data. These splits are then broken down into three parts in the terms of our model. Those parts include training, validation, and testing splits respectfully. Training data is the portion that is used to estimate our model. Validation data is not used in estimate directly, but instead works in the background to determine the optimal point in which the model stops. Lastly, the test data is never actually used in the model estimation. Test data is used to represent “new observations” and assists in providing and unbiased analysis of the predictive ability of the model. With the validation method only being utilized indirectly, we choose our model that displays the best performance on the test data. Upon examination of our data, we can see that while all methods were similar in analysis, one method stood out in comparison to the others. Our Complex Neural Network method (CNN) proved to be the best fit for our data, as CNN calculated an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of 0.9777942 in addition </w:t>
      </w:r>
      <w:r w:rsidR="00D626D3">
        <w:rPr>
          <w:rFonts w:ascii="Times New Roman" w:hAnsi="Times New Roman" w:cs="Times New Roman"/>
          <w:sz w:val="24"/>
          <w:szCs w:val="24"/>
        </w:rPr>
        <w:t>to a</w:t>
      </w:r>
      <w:r>
        <w:rPr>
          <w:rFonts w:ascii="Times New Roman" w:hAnsi="Times New Roman" w:cs="Times New Roman"/>
          <w:sz w:val="24"/>
          <w:szCs w:val="24"/>
        </w:rPr>
        <w:t xml:space="preserve"> RASE of 402.16345. Our simple NN method performed convincingly worse in calculation, measuring an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of 0.9699057 followed by a RASE of 468.17819. When comparing these </w:t>
      </w:r>
      <w:r>
        <w:rPr>
          <w:rFonts w:ascii="Times New Roman" w:hAnsi="Times New Roman" w:cs="Times New Roman"/>
          <w:sz w:val="24"/>
          <w:szCs w:val="24"/>
        </w:rPr>
        <w:lastRenderedPageBreak/>
        <w:t>measurements from the visuals below, we can see that CNN is the appropriate choice of methodology as far as the performance of this particular dataset is concerned.</w:t>
      </w:r>
    </w:p>
    <w:p w14:paraId="41521368" w14:textId="77777777" w:rsidR="00626AC8" w:rsidRDefault="00626AC8" w:rsidP="00626AC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Model </w:t>
      </w:r>
      <w:proofErr w:type="spellStart"/>
      <w:proofErr w:type="gramStart"/>
      <w:r>
        <w:rPr>
          <w:rFonts w:ascii="Segoe UI" w:hAnsi="Segoe UI" w:cs="Segoe UI"/>
          <w:b/>
          <w:bCs/>
          <w:color w:val="000000"/>
        </w:rPr>
        <w:t>NTanH</w:t>
      </w:r>
      <w:proofErr w:type="spellEnd"/>
      <w:r>
        <w:rPr>
          <w:rFonts w:ascii="Segoe UI" w:hAnsi="Segoe UI" w:cs="Segoe UI"/>
          <w:b/>
          <w:bCs/>
          <w:color w:val="000000"/>
        </w:rPr>
        <w:t>(</w:t>
      </w:r>
      <w:proofErr w:type="gramEnd"/>
      <w:r>
        <w:rPr>
          <w:rFonts w:ascii="Segoe UI" w:hAnsi="Segoe UI" w:cs="Segoe UI"/>
          <w:b/>
          <w:bCs/>
          <w:color w:val="000000"/>
        </w:rPr>
        <w:t>3)</w:t>
      </w:r>
      <w:r>
        <w:rPr>
          <w:rFonts w:ascii="Segoe UI" w:hAnsi="Segoe UI" w:cs="Segoe UI"/>
          <w:b/>
          <w:bCs/>
          <w:color w:val="000000"/>
        </w:rPr>
        <w:tab/>
      </w:r>
      <w:r>
        <w:rPr>
          <w:rFonts w:ascii="Segoe UI" w:hAnsi="Segoe UI" w:cs="Segoe UI"/>
          <w:b/>
          <w:bCs/>
          <w:color w:val="000000"/>
        </w:rPr>
        <w:tab/>
      </w:r>
      <w:r>
        <w:rPr>
          <w:rFonts w:ascii="Segoe UI" w:hAnsi="Segoe UI" w:cs="Segoe UI"/>
          <w:b/>
          <w:bCs/>
          <w:color w:val="000000"/>
        </w:rPr>
        <w:tab/>
      </w:r>
      <w:r>
        <w:rPr>
          <w:rFonts w:ascii="Segoe UI" w:hAnsi="Segoe UI" w:cs="Segoe UI"/>
          <w:b/>
          <w:bCs/>
          <w:color w:val="000000"/>
        </w:rPr>
        <w:tab/>
      </w:r>
      <w:r>
        <w:rPr>
          <w:rFonts w:ascii="Segoe UI" w:hAnsi="Segoe UI" w:cs="Segoe UI"/>
          <w:b/>
          <w:bCs/>
          <w:color w:val="000000"/>
        </w:rPr>
        <w:tab/>
      </w:r>
      <w:r>
        <w:rPr>
          <w:rFonts w:ascii="Segoe UI" w:hAnsi="Segoe UI" w:cs="Segoe UI"/>
          <w:b/>
          <w:bCs/>
          <w:color w:val="000000"/>
        </w:rPr>
        <w:tab/>
      </w:r>
      <w:r>
        <w:rPr>
          <w:rFonts w:ascii="Segoe UI" w:hAnsi="Segoe UI" w:cs="Segoe UI"/>
          <w:b/>
          <w:bCs/>
          <w:color w:val="000000"/>
        </w:rPr>
        <w:tab/>
      </w:r>
      <w:r>
        <w:rPr>
          <w:rFonts w:ascii="Segoe UI" w:hAnsi="Segoe UI" w:cs="Segoe UI"/>
          <w:b/>
          <w:bCs/>
          <w:color w:val="000000"/>
        </w:rPr>
        <w:tab/>
      </w:r>
    </w:p>
    <w:p w14:paraId="04BF4E88" w14:textId="77777777" w:rsidR="00626AC8" w:rsidRDefault="00626AC8" w:rsidP="00626AC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Test</w:t>
      </w:r>
    </w:p>
    <w:p w14:paraId="3A347167" w14:textId="77777777" w:rsidR="00626AC8" w:rsidRDefault="00626AC8" w:rsidP="00626AC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Price</w:t>
      </w:r>
    </w:p>
    <w:p w14:paraId="08EF4687" w14:textId="77777777" w:rsidR="00626AC8" w:rsidRDefault="00626AC8" w:rsidP="00626AC8">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370"/>
        <w:gridCol w:w="1055"/>
      </w:tblGrid>
      <w:tr w:rsidR="00626AC8" w14:paraId="7A09B04E" w14:textId="77777777" w:rsidTr="00251214">
        <w:trPr>
          <w:trHeight w:val="239"/>
          <w:tblHeader/>
        </w:trPr>
        <w:tc>
          <w:tcPr>
            <w:tcW w:w="1370" w:type="dxa"/>
            <w:vMerge w:val="restart"/>
            <w:tcBorders>
              <w:top w:val="nil"/>
              <w:left w:val="nil"/>
              <w:bottom w:val="nil"/>
              <w:right w:val="nil"/>
            </w:tcBorders>
            <w:shd w:val="clear" w:color="auto" w:fill="D9D9D9"/>
          </w:tcPr>
          <w:p w14:paraId="5E714ECE" w14:textId="77777777" w:rsidR="00626AC8" w:rsidRDefault="00626AC8" w:rsidP="00251214">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Measures</w:t>
            </w:r>
          </w:p>
        </w:tc>
        <w:tc>
          <w:tcPr>
            <w:tcW w:w="1055" w:type="dxa"/>
            <w:vMerge w:val="restart"/>
            <w:tcBorders>
              <w:top w:val="nil"/>
              <w:left w:val="nil"/>
              <w:bottom w:val="nil"/>
              <w:right w:val="nil"/>
            </w:tcBorders>
            <w:shd w:val="clear" w:color="auto" w:fill="D9D9D9"/>
          </w:tcPr>
          <w:p w14:paraId="3BE923A8" w14:textId="77777777" w:rsidR="00626AC8" w:rsidRDefault="00626AC8" w:rsidP="0025121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Value</w:t>
            </w:r>
          </w:p>
        </w:tc>
      </w:tr>
      <w:tr w:rsidR="00626AC8" w14:paraId="728F541F" w14:textId="77777777" w:rsidTr="00251214">
        <w:trPr>
          <w:trHeight w:val="239"/>
        </w:trPr>
        <w:tc>
          <w:tcPr>
            <w:tcW w:w="1370" w:type="dxa"/>
            <w:vMerge w:val="restart"/>
            <w:tcBorders>
              <w:top w:val="nil"/>
              <w:left w:val="nil"/>
              <w:bottom w:val="nil"/>
              <w:right w:val="nil"/>
            </w:tcBorders>
          </w:tcPr>
          <w:p w14:paraId="60BD9D17"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p>
        </w:tc>
        <w:tc>
          <w:tcPr>
            <w:tcW w:w="1055" w:type="dxa"/>
            <w:vMerge w:val="restart"/>
            <w:tcBorders>
              <w:top w:val="nil"/>
              <w:left w:val="nil"/>
              <w:bottom w:val="nil"/>
              <w:right w:val="nil"/>
            </w:tcBorders>
          </w:tcPr>
          <w:p w14:paraId="654065D4"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0.9699057</w:t>
            </w:r>
          </w:p>
        </w:tc>
      </w:tr>
      <w:tr w:rsidR="00626AC8" w14:paraId="5ADE9E61" w14:textId="77777777" w:rsidTr="00251214">
        <w:trPr>
          <w:trHeight w:val="239"/>
        </w:trPr>
        <w:tc>
          <w:tcPr>
            <w:tcW w:w="1370" w:type="dxa"/>
            <w:vMerge w:val="restart"/>
            <w:tcBorders>
              <w:top w:val="nil"/>
              <w:left w:val="nil"/>
              <w:bottom w:val="nil"/>
              <w:right w:val="nil"/>
            </w:tcBorders>
          </w:tcPr>
          <w:p w14:paraId="7F9B2EDB"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RASE</w:t>
            </w:r>
          </w:p>
        </w:tc>
        <w:tc>
          <w:tcPr>
            <w:tcW w:w="1055" w:type="dxa"/>
            <w:vMerge w:val="restart"/>
            <w:tcBorders>
              <w:top w:val="nil"/>
              <w:left w:val="nil"/>
              <w:bottom w:val="nil"/>
              <w:right w:val="nil"/>
            </w:tcBorders>
          </w:tcPr>
          <w:p w14:paraId="7F6182AA"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468.17819</w:t>
            </w:r>
          </w:p>
        </w:tc>
      </w:tr>
      <w:tr w:rsidR="00626AC8" w14:paraId="2D4D1EE6" w14:textId="77777777" w:rsidTr="00251214">
        <w:trPr>
          <w:trHeight w:val="239"/>
        </w:trPr>
        <w:tc>
          <w:tcPr>
            <w:tcW w:w="1370" w:type="dxa"/>
            <w:vMerge w:val="restart"/>
            <w:tcBorders>
              <w:top w:val="nil"/>
              <w:left w:val="nil"/>
              <w:bottom w:val="nil"/>
              <w:right w:val="nil"/>
            </w:tcBorders>
          </w:tcPr>
          <w:p w14:paraId="296EDB5D"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Abs Dev</w:t>
            </w:r>
          </w:p>
        </w:tc>
        <w:tc>
          <w:tcPr>
            <w:tcW w:w="1055" w:type="dxa"/>
            <w:vMerge w:val="restart"/>
            <w:tcBorders>
              <w:top w:val="nil"/>
              <w:left w:val="nil"/>
              <w:bottom w:val="nil"/>
              <w:right w:val="nil"/>
            </w:tcBorders>
          </w:tcPr>
          <w:p w14:paraId="1CE23662"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311.76717</w:t>
            </w:r>
          </w:p>
        </w:tc>
      </w:tr>
      <w:tr w:rsidR="00626AC8" w14:paraId="55A691B1" w14:textId="77777777" w:rsidTr="00251214">
        <w:trPr>
          <w:trHeight w:val="239"/>
        </w:trPr>
        <w:tc>
          <w:tcPr>
            <w:tcW w:w="1370" w:type="dxa"/>
            <w:vMerge w:val="restart"/>
            <w:tcBorders>
              <w:top w:val="nil"/>
              <w:left w:val="nil"/>
              <w:bottom w:val="nil"/>
              <w:right w:val="nil"/>
            </w:tcBorders>
          </w:tcPr>
          <w:p w14:paraId="02A73A78"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 -</w:t>
            </w:r>
            <w:proofErr w:type="spellStart"/>
            <w:r>
              <w:rPr>
                <w:rFonts w:ascii="Segoe UI" w:hAnsi="Segoe UI" w:cs="Segoe UI"/>
                <w:color w:val="000000"/>
                <w:sz w:val="18"/>
                <w:szCs w:val="18"/>
              </w:rPr>
              <w:t>LogLikelihood</w:t>
            </w:r>
            <w:proofErr w:type="spellEnd"/>
          </w:p>
        </w:tc>
        <w:tc>
          <w:tcPr>
            <w:tcW w:w="1055" w:type="dxa"/>
            <w:vMerge w:val="restart"/>
            <w:tcBorders>
              <w:top w:val="nil"/>
              <w:left w:val="nil"/>
              <w:bottom w:val="nil"/>
              <w:right w:val="nil"/>
            </w:tcBorders>
          </w:tcPr>
          <w:p w14:paraId="647ACA0F"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4071.4697</w:t>
            </w:r>
          </w:p>
        </w:tc>
      </w:tr>
      <w:tr w:rsidR="00626AC8" w14:paraId="41501D2E" w14:textId="77777777" w:rsidTr="00251214">
        <w:trPr>
          <w:trHeight w:val="239"/>
        </w:trPr>
        <w:tc>
          <w:tcPr>
            <w:tcW w:w="1370" w:type="dxa"/>
            <w:vMerge w:val="restart"/>
            <w:tcBorders>
              <w:top w:val="nil"/>
              <w:left w:val="nil"/>
              <w:bottom w:val="nil"/>
              <w:right w:val="nil"/>
            </w:tcBorders>
          </w:tcPr>
          <w:p w14:paraId="723027E3"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SSE</w:t>
            </w:r>
          </w:p>
        </w:tc>
        <w:tc>
          <w:tcPr>
            <w:tcW w:w="1055" w:type="dxa"/>
            <w:vMerge w:val="restart"/>
            <w:tcBorders>
              <w:top w:val="nil"/>
              <w:left w:val="nil"/>
              <w:bottom w:val="nil"/>
              <w:right w:val="nil"/>
            </w:tcBorders>
          </w:tcPr>
          <w:p w14:paraId="3C772195"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117924661</w:t>
            </w:r>
          </w:p>
        </w:tc>
      </w:tr>
      <w:tr w:rsidR="00626AC8" w14:paraId="69DE2D22" w14:textId="77777777" w:rsidTr="00251214">
        <w:trPr>
          <w:trHeight w:val="239"/>
        </w:trPr>
        <w:tc>
          <w:tcPr>
            <w:tcW w:w="1370" w:type="dxa"/>
            <w:vMerge w:val="restart"/>
            <w:tcBorders>
              <w:top w:val="nil"/>
              <w:left w:val="nil"/>
              <w:bottom w:val="nil"/>
              <w:right w:val="nil"/>
            </w:tcBorders>
          </w:tcPr>
          <w:p w14:paraId="397C5590"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Sum Freq</w:t>
            </w:r>
          </w:p>
        </w:tc>
        <w:tc>
          <w:tcPr>
            <w:tcW w:w="1055" w:type="dxa"/>
            <w:vMerge w:val="restart"/>
            <w:tcBorders>
              <w:top w:val="nil"/>
              <w:left w:val="nil"/>
              <w:bottom w:val="nil"/>
              <w:right w:val="nil"/>
            </w:tcBorders>
          </w:tcPr>
          <w:p w14:paraId="71EB45B5"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538</w:t>
            </w:r>
          </w:p>
        </w:tc>
      </w:tr>
      <w:tr w:rsidR="00626AC8" w14:paraId="3381F1E6" w14:textId="77777777" w:rsidTr="00251214">
        <w:trPr>
          <w:trHeight w:val="239"/>
        </w:trPr>
        <w:tc>
          <w:tcPr>
            <w:tcW w:w="1370" w:type="dxa"/>
            <w:tcBorders>
              <w:top w:val="nil"/>
              <w:left w:val="nil"/>
              <w:bottom w:val="nil"/>
              <w:right w:val="nil"/>
            </w:tcBorders>
          </w:tcPr>
          <w:p w14:paraId="0B765F46"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p>
          <w:p w14:paraId="5731C5D0"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p>
        </w:tc>
        <w:tc>
          <w:tcPr>
            <w:tcW w:w="1055" w:type="dxa"/>
            <w:tcBorders>
              <w:top w:val="nil"/>
              <w:left w:val="nil"/>
              <w:bottom w:val="nil"/>
              <w:right w:val="nil"/>
            </w:tcBorders>
          </w:tcPr>
          <w:p w14:paraId="2B7E9E0C"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p>
        </w:tc>
      </w:tr>
    </w:tbl>
    <w:p w14:paraId="1B29DF98" w14:textId="77777777" w:rsidR="00626AC8" w:rsidRDefault="00626AC8" w:rsidP="00626AC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Model </w:t>
      </w:r>
      <w:proofErr w:type="spellStart"/>
      <w:r>
        <w:rPr>
          <w:rFonts w:ascii="Segoe UI" w:hAnsi="Segoe UI" w:cs="Segoe UI"/>
          <w:b/>
          <w:bCs/>
          <w:color w:val="000000"/>
        </w:rPr>
        <w:t>NtanH</w:t>
      </w:r>
      <w:proofErr w:type="spellEnd"/>
      <w:r>
        <w:rPr>
          <w:rFonts w:ascii="Segoe UI" w:hAnsi="Segoe UI" w:cs="Segoe UI"/>
          <w:b/>
          <w:bCs/>
          <w:color w:val="000000"/>
        </w:rPr>
        <w:t>(</w:t>
      </w:r>
      <w:proofErr w:type="gramStart"/>
      <w:r>
        <w:rPr>
          <w:rFonts w:ascii="Segoe UI" w:hAnsi="Segoe UI" w:cs="Segoe UI"/>
          <w:b/>
          <w:bCs/>
          <w:color w:val="000000"/>
        </w:rPr>
        <w:t>3)NtanH</w:t>
      </w:r>
      <w:proofErr w:type="gramEnd"/>
      <w:r>
        <w:rPr>
          <w:rFonts w:ascii="Segoe UI" w:hAnsi="Segoe UI" w:cs="Segoe UI"/>
          <w:b/>
          <w:bCs/>
          <w:color w:val="000000"/>
        </w:rPr>
        <w:t>2(3)Nlinear2(3)Ngaussian2(3)</w:t>
      </w:r>
    </w:p>
    <w:p w14:paraId="3073984C" w14:textId="77777777" w:rsidR="00626AC8" w:rsidRDefault="00626AC8" w:rsidP="00626AC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Test</w:t>
      </w:r>
    </w:p>
    <w:p w14:paraId="5DA6596C" w14:textId="77777777" w:rsidR="00626AC8" w:rsidRDefault="00626AC8" w:rsidP="00626AC8">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Price</w:t>
      </w:r>
    </w:p>
    <w:p w14:paraId="51C17ED1" w14:textId="77777777" w:rsidR="00626AC8" w:rsidRDefault="00626AC8" w:rsidP="00626AC8">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600" w:firstRow="0" w:lastRow="0" w:firstColumn="0" w:lastColumn="0" w:noHBand="1" w:noVBand="1"/>
      </w:tblPr>
      <w:tblGrid>
        <w:gridCol w:w="1429"/>
        <w:gridCol w:w="1100"/>
      </w:tblGrid>
      <w:tr w:rsidR="00626AC8" w14:paraId="0F60D295" w14:textId="77777777" w:rsidTr="00251214">
        <w:trPr>
          <w:trHeight w:val="256"/>
          <w:tblHeader/>
        </w:trPr>
        <w:tc>
          <w:tcPr>
            <w:tcW w:w="1429" w:type="dxa"/>
            <w:vMerge w:val="restart"/>
            <w:tcBorders>
              <w:top w:val="nil"/>
              <w:left w:val="nil"/>
              <w:bottom w:val="nil"/>
              <w:right w:val="nil"/>
            </w:tcBorders>
            <w:shd w:val="clear" w:color="auto" w:fill="D9D9D9"/>
          </w:tcPr>
          <w:p w14:paraId="072AF810" w14:textId="77777777" w:rsidR="00626AC8" w:rsidRDefault="00626AC8" w:rsidP="00251214">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Measures</w:t>
            </w:r>
          </w:p>
        </w:tc>
        <w:tc>
          <w:tcPr>
            <w:tcW w:w="1100" w:type="dxa"/>
            <w:vMerge w:val="restart"/>
            <w:tcBorders>
              <w:top w:val="nil"/>
              <w:left w:val="nil"/>
              <w:bottom w:val="nil"/>
              <w:right w:val="nil"/>
            </w:tcBorders>
            <w:shd w:val="clear" w:color="auto" w:fill="D9D9D9"/>
          </w:tcPr>
          <w:p w14:paraId="167B3304" w14:textId="77777777" w:rsidR="00626AC8" w:rsidRDefault="00626AC8" w:rsidP="0025121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Value</w:t>
            </w:r>
          </w:p>
        </w:tc>
      </w:tr>
      <w:tr w:rsidR="00626AC8" w14:paraId="626FAB99" w14:textId="77777777" w:rsidTr="00251214">
        <w:trPr>
          <w:trHeight w:val="256"/>
        </w:trPr>
        <w:tc>
          <w:tcPr>
            <w:tcW w:w="1429" w:type="dxa"/>
            <w:vMerge w:val="restart"/>
            <w:tcBorders>
              <w:top w:val="nil"/>
              <w:left w:val="nil"/>
              <w:bottom w:val="nil"/>
              <w:right w:val="nil"/>
            </w:tcBorders>
          </w:tcPr>
          <w:p w14:paraId="107B6577"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p>
        </w:tc>
        <w:tc>
          <w:tcPr>
            <w:tcW w:w="1100" w:type="dxa"/>
            <w:vMerge w:val="restart"/>
            <w:tcBorders>
              <w:top w:val="nil"/>
              <w:left w:val="nil"/>
              <w:bottom w:val="nil"/>
              <w:right w:val="nil"/>
            </w:tcBorders>
          </w:tcPr>
          <w:p w14:paraId="68F036B5"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0.9777942</w:t>
            </w:r>
          </w:p>
        </w:tc>
      </w:tr>
      <w:tr w:rsidR="00626AC8" w14:paraId="73A997B4" w14:textId="77777777" w:rsidTr="00251214">
        <w:trPr>
          <w:trHeight w:val="256"/>
        </w:trPr>
        <w:tc>
          <w:tcPr>
            <w:tcW w:w="1429" w:type="dxa"/>
            <w:vMerge w:val="restart"/>
            <w:tcBorders>
              <w:top w:val="nil"/>
              <w:left w:val="nil"/>
              <w:bottom w:val="nil"/>
              <w:right w:val="nil"/>
            </w:tcBorders>
          </w:tcPr>
          <w:p w14:paraId="7116F15C"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RASE</w:t>
            </w:r>
          </w:p>
        </w:tc>
        <w:tc>
          <w:tcPr>
            <w:tcW w:w="1100" w:type="dxa"/>
            <w:vMerge w:val="restart"/>
            <w:tcBorders>
              <w:top w:val="nil"/>
              <w:left w:val="nil"/>
              <w:bottom w:val="nil"/>
              <w:right w:val="nil"/>
            </w:tcBorders>
          </w:tcPr>
          <w:p w14:paraId="18363C07"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402.16345</w:t>
            </w:r>
          </w:p>
        </w:tc>
      </w:tr>
      <w:tr w:rsidR="00626AC8" w14:paraId="34867F12" w14:textId="77777777" w:rsidTr="00251214">
        <w:trPr>
          <w:trHeight w:val="256"/>
        </w:trPr>
        <w:tc>
          <w:tcPr>
            <w:tcW w:w="1429" w:type="dxa"/>
            <w:vMerge w:val="restart"/>
            <w:tcBorders>
              <w:top w:val="nil"/>
              <w:left w:val="nil"/>
              <w:bottom w:val="nil"/>
              <w:right w:val="nil"/>
            </w:tcBorders>
          </w:tcPr>
          <w:p w14:paraId="4C2DD950"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Abs Dev</w:t>
            </w:r>
          </w:p>
        </w:tc>
        <w:tc>
          <w:tcPr>
            <w:tcW w:w="1100" w:type="dxa"/>
            <w:vMerge w:val="restart"/>
            <w:tcBorders>
              <w:top w:val="nil"/>
              <w:left w:val="nil"/>
              <w:bottom w:val="nil"/>
              <w:right w:val="nil"/>
            </w:tcBorders>
          </w:tcPr>
          <w:p w14:paraId="15F6B4E5"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262.01699</w:t>
            </w:r>
          </w:p>
        </w:tc>
      </w:tr>
      <w:tr w:rsidR="00626AC8" w14:paraId="01A58B92" w14:textId="77777777" w:rsidTr="00251214">
        <w:trPr>
          <w:trHeight w:val="256"/>
        </w:trPr>
        <w:tc>
          <w:tcPr>
            <w:tcW w:w="1429" w:type="dxa"/>
            <w:vMerge w:val="restart"/>
            <w:tcBorders>
              <w:top w:val="nil"/>
              <w:left w:val="nil"/>
              <w:bottom w:val="nil"/>
              <w:right w:val="nil"/>
            </w:tcBorders>
          </w:tcPr>
          <w:p w14:paraId="26C5B320"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 -</w:t>
            </w:r>
            <w:proofErr w:type="spellStart"/>
            <w:r>
              <w:rPr>
                <w:rFonts w:ascii="Segoe UI" w:hAnsi="Segoe UI" w:cs="Segoe UI"/>
                <w:color w:val="000000"/>
                <w:sz w:val="18"/>
                <w:szCs w:val="18"/>
              </w:rPr>
              <w:t>LogLikelihood</w:t>
            </w:r>
            <w:proofErr w:type="spellEnd"/>
          </w:p>
        </w:tc>
        <w:tc>
          <w:tcPr>
            <w:tcW w:w="1100" w:type="dxa"/>
            <w:vMerge w:val="restart"/>
            <w:tcBorders>
              <w:top w:val="nil"/>
              <w:left w:val="nil"/>
              <w:bottom w:val="nil"/>
              <w:right w:val="nil"/>
            </w:tcBorders>
          </w:tcPr>
          <w:p w14:paraId="0975A773"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3989.6989</w:t>
            </w:r>
          </w:p>
        </w:tc>
      </w:tr>
      <w:tr w:rsidR="00626AC8" w14:paraId="6811AA97" w14:textId="77777777" w:rsidTr="00251214">
        <w:trPr>
          <w:trHeight w:val="256"/>
        </w:trPr>
        <w:tc>
          <w:tcPr>
            <w:tcW w:w="1429" w:type="dxa"/>
            <w:vMerge w:val="restart"/>
            <w:tcBorders>
              <w:top w:val="nil"/>
              <w:left w:val="nil"/>
              <w:bottom w:val="nil"/>
              <w:right w:val="nil"/>
            </w:tcBorders>
          </w:tcPr>
          <w:p w14:paraId="46E81AA2"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SSE</w:t>
            </w:r>
          </w:p>
        </w:tc>
        <w:tc>
          <w:tcPr>
            <w:tcW w:w="1100" w:type="dxa"/>
            <w:vMerge w:val="restart"/>
            <w:tcBorders>
              <w:top w:val="nil"/>
              <w:left w:val="nil"/>
              <w:bottom w:val="nil"/>
              <w:right w:val="nil"/>
            </w:tcBorders>
          </w:tcPr>
          <w:p w14:paraId="51529457"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87013667</w:t>
            </w:r>
          </w:p>
        </w:tc>
      </w:tr>
      <w:tr w:rsidR="00626AC8" w14:paraId="1EC03645" w14:textId="77777777" w:rsidTr="00251214">
        <w:trPr>
          <w:trHeight w:val="256"/>
        </w:trPr>
        <w:tc>
          <w:tcPr>
            <w:tcW w:w="1429" w:type="dxa"/>
            <w:tcBorders>
              <w:top w:val="nil"/>
              <w:left w:val="nil"/>
              <w:bottom w:val="nil"/>
              <w:right w:val="nil"/>
            </w:tcBorders>
          </w:tcPr>
          <w:p w14:paraId="08CA4CA8" w14:textId="77777777" w:rsidR="00626AC8" w:rsidRDefault="00626AC8" w:rsidP="0025121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Sum Freq</w:t>
            </w:r>
          </w:p>
        </w:tc>
        <w:tc>
          <w:tcPr>
            <w:tcW w:w="1100" w:type="dxa"/>
            <w:tcBorders>
              <w:top w:val="nil"/>
              <w:left w:val="nil"/>
              <w:bottom w:val="nil"/>
              <w:right w:val="nil"/>
            </w:tcBorders>
          </w:tcPr>
          <w:p w14:paraId="53EB8ECA"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538</w:t>
            </w:r>
          </w:p>
          <w:p w14:paraId="0ED1B959" w14:textId="77777777" w:rsidR="00626AC8" w:rsidRDefault="00626AC8" w:rsidP="00251214">
            <w:pPr>
              <w:autoSpaceDE w:val="0"/>
              <w:autoSpaceDN w:val="0"/>
              <w:adjustRightInd w:val="0"/>
              <w:spacing w:after="0" w:line="240" w:lineRule="auto"/>
              <w:jc w:val="right"/>
              <w:rPr>
                <w:rFonts w:ascii="Segoe UI" w:hAnsi="Segoe UI" w:cs="Segoe UI"/>
                <w:color w:val="000000"/>
                <w:sz w:val="18"/>
                <w:szCs w:val="18"/>
              </w:rPr>
            </w:pPr>
          </w:p>
        </w:tc>
      </w:tr>
    </w:tbl>
    <w:p w14:paraId="065C3805" w14:textId="77777777" w:rsidR="003B7A44" w:rsidRDefault="0089448B" w:rsidP="00626AC8">
      <w:pPr>
        <w:rPr>
          <w:rFonts w:ascii="Times New Roman" w:hAnsi="Times New Roman" w:cs="Times New Roman"/>
          <w:sz w:val="24"/>
          <w:szCs w:val="24"/>
        </w:rPr>
      </w:pPr>
      <w:r>
        <w:tab/>
      </w:r>
      <w:r w:rsidR="00D43230">
        <w:rPr>
          <w:rFonts w:ascii="Times New Roman" w:hAnsi="Times New Roman" w:cs="Times New Roman"/>
          <w:sz w:val="24"/>
          <w:szCs w:val="24"/>
        </w:rPr>
        <w:t>After thoroughly sifting through our data, our chosen model displayed which variables were of most importance. Shown in the visual below, we can see that the variables responsible for the biggest impact of</w:t>
      </w:r>
      <w:r w:rsidR="002F1086">
        <w:rPr>
          <w:rFonts w:ascii="Times New Roman" w:hAnsi="Times New Roman" w:cs="Times New Roman"/>
          <w:sz w:val="24"/>
          <w:szCs w:val="24"/>
        </w:rPr>
        <w:t xml:space="preserve"> diamond pricing.</w:t>
      </w:r>
      <w:r w:rsidR="00185B92">
        <w:rPr>
          <w:rFonts w:ascii="Times New Roman" w:hAnsi="Times New Roman" w:cs="Times New Roman"/>
          <w:sz w:val="24"/>
          <w:szCs w:val="24"/>
        </w:rPr>
        <w:t xml:space="preserve"> </w:t>
      </w:r>
      <w:r w:rsidR="007C246F">
        <w:rPr>
          <w:rFonts w:ascii="Times New Roman" w:hAnsi="Times New Roman" w:cs="Times New Roman"/>
          <w:sz w:val="24"/>
          <w:szCs w:val="24"/>
        </w:rPr>
        <w:t xml:space="preserve">Our initial hypothesis was proven to be correct, as </w:t>
      </w:r>
      <w:r w:rsidR="005C4E46">
        <w:rPr>
          <w:rFonts w:ascii="Times New Roman" w:hAnsi="Times New Roman" w:cs="Times New Roman"/>
          <w:sz w:val="24"/>
          <w:szCs w:val="24"/>
        </w:rPr>
        <w:t xml:space="preserve">carat weight had a substantial impact on the pricing of diamonds with a total effect of 0.91. </w:t>
      </w:r>
      <w:r w:rsidR="000A4468">
        <w:rPr>
          <w:rFonts w:ascii="Times New Roman" w:hAnsi="Times New Roman" w:cs="Times New Roman"/>
          <w:sz w:val="24"/>
          <w:szCs w:val="24"/>
        </w:rPr>
        <w:t>C</w:t>
      </w:r>
      <w:r w:rsidR="003322CD">
        <w:rPr>
          <w:rFonts w:ascii="Times New Roman" w:hAnsi="Times New Roman" w:cs="Times New Roman"/>
          <w:sz w:val="24"/>
          <w:szCs w:val="24"/>
        </w:rPr>
        <w:t>o</w:t>
      </w:r>
      <w:r w:rsidR="000A4468">
        <w:rPr>
          <w:rFonts w:ascii="Times New Roman" w:hAnsi="Times New Roman" w:cs="Times New Roman"/>
          <w:sz w:val="24"/>
          <w:szCs w:val="24"/>
        </w:rPr>
        <w:t>lor also seemed to be somewhat significant, it measured to have a total effect of 0.84</w:t>
      </w:r>
      <w:r w:rsidR="003322CD">
        <w:rPr>
          <w:rFonts w:ascii="Times New Roman" w:hAnsi="Times New Roman" w:cs="Times New Roman"/>
          <w:sz w:val="24"/>
          <w:szCs w:val="24"/>
        </w:rPr>
        <w:t>, Our third most important variable was clarity, as its total effect came out to 0.048</w:t>
      </w:r>
      <w:r w:rsidR="00C10CDE">
        <w:rPr>
          <w:rFonts w:ascii="Times New Roman" w:hAnsi="Times New Roman" w:cs="Times New Roman"/>
          <w:sz w:val="24"/>
          <w:szCs w:val="24"/>
        </w:rPr>
        <w:t>.</w:t>
      </w:r>
      <w:r w:rsidR="003B7A44">
        <w:rPr>
          <w:rFonts w:ascii="Times New Roman" w:hAnsi="Times New Roman" w:cs="Times New Roman"/>
          <w:sz w:val="24"/>
          <w:szCs w:val="24"/>
        </w:rPr>
        <w:t xml:space="preserve"> </w:t>
      </w:r>
    </w:p>
    <w:p w14:paraId="48DDC551" w14:textId="77777777" w:rsidR="003B7A44" w:rsidRDefault="003B7A44" w:rsidP="003B7A44">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Predicted Price CNN</w:t>
      </w:r>
    </w:p>
    <w:p w14:paraId="7EE78E43" w14:textId="77777777" w:rsidR="003B7A44" w:rsidRDefault="003B7A44" w:rsidP="003B7A44">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220"/>
        <w:gridCol w:w="1205"/>
        <w:gridCol w:w="1205"/>
        <w:gridCol w:w="1670"/>
      </w:tblGrid>
      <w:tr w:rsidR="003B7A44" w14:paraId="63053A5D" w14:textId="77777777">
        <w:trPr>
          <w:trHeight w:val="239"/>
          <w:tblHeader/>
        </w:trPr>
        <w:tc>
          <w:tcPr>
            <w:tcW w:w="1220" w:type="dxa"/>
            <w:vMerge w:val="restart"/>
            <w:tcBorders>
              <w:top w:val="nil"/>
              <w:left w:val="nil"/>
              <w:bottom w:val="nil"/>
              <w:right w:val="nil"/>
            </w:tcBorders>
            <w:shd w:val="clear" w:color="auto" w:fill="D9D9D9"/>
          </w:tcPr>
          <w:p w14:paraId="14499861" w14:textId="77777777" w:rsidR="003B7A44" w:rsidRDefault="003B7A44">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6667746A" w14:textId="77777777" w:rsidR="003B7A44" w:rsidRDefault="003B7A4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29E9E2AC" w14:textId="77777777" w:rsidR="003B7A44" w:rsidRDefault="003B7A44">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0CA9A400" w14:textId="77777777" w:rsidR="003B7A44" w:rsidRDefault="003B7A44">
            <w:pPr>
              <w:autoSpaceDE w:val="0"/>
              <w:autoSpaceDN w:val="0"/>
              <w:adjustRightInd w:val="0"/>
              <w:spacing w:after="0" w:line="240" w:lineRule="auto"/>
              <w:rPr>
                <w:rFonts w:ascii="Segoe UI" w:hAnsi="Segoe UI" w:cs="Segoe UI"/>
                <w:b/>
                <w:bCs/>
                <w:color w:val="000000"/>
                <w:sz w:val="18"/>
                <w:szCs w:val="18"/>
              </w:rPr>
            </w:pPr>
          </w:p>
        </w:tc>
      </w:tr>
      <w:tr w:rsidR="003B7A44" w14:paraId="7AC0FC52" w14:textId="77777777">
        <w:trPr>
          <w:trHeight w:val="239"/>
        </w:trPr>
        <w:tc>
          <w:tcPr>
            <w:tcW w:w="1220" w:type="dxa"/>
            <w:vMerge w:val="restart"/>
            <w:tcBorders>
              <w:top w:val="nil"/>
              <w:left w:val="nil"/>
              <w:bottom w:val="nil"/>
              <w:right w:val="nil"/>
            </w:tcBorders>
          </w:tcPr>
          <w:p w14:paraId="5A9CDB9F" w14:textId="77777777"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Carat Weight</w:t>
            </w:r>
          </w:p>
        </w:tc>
        <w:tc>
          <w:tcPr>
            <w:tcW w:w="1205" w:type="dxa"/>
            <w:vMerge w:val="restart"/>
            <w:tcBorders>
              <w:top w:val="nil"/>
              <w:left w:val="nil"/>
              <w:bottom w:val="nil"/>
              <w:right w:val="nil"/>
            </w:tcBorders>
          </w:tcPr>
          <w:p w14:paraId="4EA25ACC"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0.869</w:t>
            </w:r>
          </w:p>
        </w:tc>
        <w:tc>
          <w:tcPr>
            <w:tcW w:w="1205" w:type="dxa"/>
            <w:vMerge w:val="restart"/>
            <w:tcBorders>
              <w:top w:val="nil"/>
              <w:left w:val="nil"/>
              <w:bottom w:val="nil"/>
              <w:right w:val="nil"/>
            </w:tcBorders>
          </w:tcPr>
          <w:p w14:paraId="45821D80"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0.91</w:t>
            </w:r>
          </w:p>
        </w:tc>
        <w:tc>
          <w:tcPr>
            <w:tcW w:w="1670" w:type="dxa"/>
            <w:vMerge w:val="restart"/>
            <w:tcBorders>
              <w:top w:val="nil"/>
              <w:left w:val="nil"/>
              <w:bottom w:val="nil"/>
              <w:right w:val="nil"/>
            </w:tcBorders>
          </w:tcPr>
          <w:p w14:paraId="2BB285BA" w14:textId="29ABC9A4"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60325A0" wp14:editId="4A39E24F">
                  <wp:extent cx="1030605" cy="158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0605" cy="158115"/>
                          </a:xfrm>
                          <a:prstGeom prst="rect">
                            <a:avLst/>
                          </a:prstGeom>
                          <a:noFill/>
                          <a:ln>
                            <a:noFill/>
                          </a:ln>
                        </pic:spPr>
                      </pic:pic>
                    </a:graphicData>
                  </a:graphic>
                </wp:inline>
              </w:drawing>
            </w:r>
          </w:p>
        </w:tc>
      </w:tr>
      <w:tr w:rsidR="003B7A44" w14:paraId="5D953234" w14:textId="77777777">
        <w:trPr>
          <w:trHeight w:val="239"/>
        </w:trPr>
        <w:tc>
          <w:tcPr>
            <w:tcW w:w="1220" w:type="dxa"/>
            <w:vMerge w:val="restart"/>
            <w:tcBorders>
              <w:top w:val="nil"/>
              <w:left w:val="nil"/>
              <w:bottom w:val="nil"/>
              <w:right w:val="nil"/>
            </w:tcBorders>
          </w:tcPr>
          <w:p w14:paraId="589CC821" w14:textId="77777777"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Color</w:t>
            </w:r>
          </w:p>
        </w:tc>
        <w:tc>
          <w:tcPr>
            <w:tcW w:w="1205" w:type="dxa"/>
            <w:vMerge w:val="restart"/>
            <w:tcBorders>
              <w:top w:val="nil"/>
              <w:left w:val="nil"/>
              <w:bottom w:val="nil"/>
              <w:right w:val="nil"/>
            </w:tcBorders>
          </w:tcPr>
          <w:p w14:paraId="11B67B06"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0.052</w:t>
            </w:r>
          </w:p>
        </w:tc>
        <w:tc>
          <w:tcPr>
            <w:tcW w:w="1205" w:type="dxa"/>
            <w:vMerge w:val="restart"/>
            <w:tcBorders>
              <w:top w:val="nil"/>
              <w:left w:val="nil"/>
              <w:bottom w:val="nil"/>
              <w:right w:val="nil"/>
            </w:tcBorders>
          </w:tcPr>
          <w:p w14:paraId="209A5146"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0.084</w:t>
            </w:r>
          </w:p>
        </w:tc>
        <w:tc>
          <w:tcPr>
            <w:tcW w:w="1670" w:type="dxa"/>
            <w:vMerge w:val="restart"/>
            <w:tcBorders>
              <w:top w:val="nil"/>
              <w:left w:val="nil"/>
              <w:bottom w:val="nil"/>
              <w:right w:val="nil"/>
            </w:tcBorders>
          </w:tcPr>
          <w:p w14:paraId="5B2CB7D4" w14:textId="52513BCB"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1C746D7" wp14:editId="790BBCA7">
                  <wp:extent cx="1030605" cy="158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0605" cy="158115"/>
                          </a:xfrm>
                          <a:prstGeom prst="rect">
                            <a:avLst/>
                          </a:prstGeom>
                          <a:noFill/>
                          <a:ln>
                            <a:noFill/>
                          </a:ln>
                        </pic:spPr>
                      </pic:pic>
                    </a:graphicData>
                  </a:graphic>
                </wp:inline>
              </w:drawing>
            </w:r>
          </w:p>
        </w:tc>
      </w:tr>
      <w:tr w:rsidR="003B7A44" w14:paraId="17118938" w14:textId="77777777">
        <w:trPr>
          <w:trHeight w:val="239"/>
        </w:trPr>
        <w:tc>
          <w:tcPr>
            <w:tcW w:w="1220" w:type="dxa"/>
            <w:vMerge w:val="restart"/>
            <w:tcBorders>
              <w:top w:val="nil"/>
              <w:left w:val="nil"/>
              <w:bottom w:val="nil"/>
              <w:right w:val="nil"/>
            </w:tcBorders>
          </w:tcPr>
          <w:p w14:paraId="3FB3EE33" w14:textId="77777777"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Clarity</w:t>
            </w:r>
          </w:p>
        </w:tc>
        <w:tc>
          <w:tcPr>
            <w:tcW w:w="1205" w:type="dxa"/>
            <w:vMerge w:val="restart"/>
            <w:tcBorders>
              <w:top w:val="nil"/>
              <w:left w:val="nil"/>
              <w:bottom w:val="nil"/>
              <w:right w:val="nil"/>
            </w:tcBorders>
          </w:tcPr>
          <w:p w14:paraId="74C5F749"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0.025</w:t>
            </w:r>
          </w:p>
        </w:tc>
        <w:tc>
          <w:tcPr>
            <w:tcW w:w="1205" w:type="dxa"/>
            <w:vMerge w:val="restart"/>
            <w:tcBorders>
              <w:top w:val="nil"/>
              <w:left w:val="nil"/>
              <w:bottom w:val="nil"/>
              <w:right w:val="nil"/>
            </w:tcBorders>
          </w:tcPr>
          <w:p w14:paraId="69ACA6C6"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0.048</w:t>
            </w:r>
          </w:p>
        </w:tc>
        <w:tc>
          <w:tcPr>
            <w:tcW w:w="1670" w:type="dxa"/>
            <w:vMerge w:val="restart"/>
            <w:tcBorders>
              <w:top w:val="nil"/>
              <w:left w:val="nil"/>
              <w:bottom w:val="nil"/>
              <w:right w:val="nil"/>
            </w:tcBorders>
          </w:tcPr>
          <w:p w14:paraId="1F86F27E" w14:textId="220744E4"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4F5662B" wp14:editId="11B9DAB0">
                  <wp:extent cx="1030605"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158115"/>
                          </a:xfrm>
                          <a:prstGeom prst="rect">
                            <a:avLst/>
                          </a:prstGeom>
                          <a:noFill/>
                          <a:ln>
                            <a:noFill/>
                          </a:ln>
                        </pic:spPr>
                      </pic:pic>
                    </a:graphicData>
                  </a:graphic>
                </wp:inline>
              </w:drawing>
            </w:r>
          </w:p>
        </w:tc>
      </w:tr>
      <w:tr w:rsidR="003B7A44" w14:paraId="6CA285CF" w14:textId="77777777">
        <w:trPr>
          <w:trHeight w:val="239"/>
        </w:trPr>
        <w:tc>
          <w:tcPr>
            <w:tcW w:w="1220" w:type="dxa"/>
            <w:vMerge w:val="restart"/>
            <w:tcBorders>
              <w:top w:val="nil"/>
              <w:left w:val="nil"/>
              <w:bottom w:val="nil"/>
              <w:right w:val="nil"/>
            </w:tcBorders>
          </w:tcPr>
          <w:p w14:paraId="16C9DAB9" w14:textId="77777777"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Cut</w:t>
            </w:r>
          </w:p>
        </w:tc>
        <w:tc>
          <w:tcPr>
            <w:tcW w:w="1205" w:type="dxa"/>
            <w:vMerge w:val="restart"/>
            <w:tcBorders>
              <w:top w:val="nil"/>
              <w:left w:val="nil"/>
              <w:bottom w:val="nil"/>
              <w:right w:val="nil"/>
            </w:tcBorders>
          </w:tcPr>
          <w:p w14:paraId="58D8B995"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205" w:type="dxa"/>
            <w:vMerge w:val="restart"/>
            <w:tcBorders>
              <w:top w:val="nil"/>
              <w:left w:val="nil"/>
              <w:bottom w:val="nil"/>
              <w:right w:val="nil"/>
            </w:tcBorders>
          </w:tcPr>
          <w:p w14:paraId="0D5462D2"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0.003</w:t>
            </w:r>
          </w:p>
        </w:tc>
        <w:tc>
          <w:tcPr>
            <w:tcW w:w="1670" w:type="dxa"/>
            <w:vMerge w:val="restart"/>
            <w:tcBorders>
              <w:top w:val="nil"/>
              <w:left w:val="nil"/>
              <w:bottom w:val="nil"/>
              <w:right w:val="nil"/>
            </w:tcBorders>
          </w:tcPr>
          <w:p w14:paraId="795FD605" w14:textId="691A8D93"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55D6514" wp14:editId="74973D60">
                  <wp:extent cx="1030605" cy="158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0605" cy="158115"/>
                          </a:xfrm>
                          <a:prstGeom prst="rect">
                            <a:avLst/>
                          </a:prstGeom>
                          <a:noFill/>
                          <a:ln>
                            <a:noFill/>
                          </a:ln>
                        </pic:spPr>
                      </pic:pic>
                    </a:graphicData>
                  </a:graphic>
                </wp:inline>
              </w:drawing>
            </w:r>
          </w:p>
        </w:tc>
      </w:tr>
      <w:tr w:rsidR="003B7A44" w14:paraId="2434A17A" w14:textId="77777777">
        <w:trPr>
          <w:trHeight w:val="239"/>
        </w:trPr>
        <w:tc>
          <w:tcPr>
            <w:tcW w:w="1220" w:type="dxa"/>
            <w:vMerge w:val="restart"/>
            <w:tcBorders>
              <w:top w:val="nil"/>
              <w:left w:val="nil"/>
              <w:bottom w:val="nil"/>
              <w:right w:val="nil"/>
            </w:tcBorders>
          </w:tcPr>
          <w:p w14:paraId="31F44A1D" w14:textId="77777777"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Depth</w:t>
            </w:r>
          </w:p>
        </w:tc>
        <w:tc>
          <w:tcPr>
            <w:tcW w:w="1205" w:type="dxa"/>
            <w:vMerge w:val="restart"/>
            <w:tcBorders>
              <w:top w:val="nil"/>
              <w:left w:val="nil"/>
              <w:bottom w:val="nil"/>
              <w:right w:val="nil"/>
            </w:tcBorders>
          </w:tcPr>
          <w:p w14:paraId="03CC1461"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5e-5</w:t>
            </w:r>
          </w:p>
        </w:tc>
        <w:tc>
          <w:tcPr>
            <w:tcW w:w="1205" w:type="dxa"/>
            <w:vMerge w:val="restart"/>
            <w:tcBorders>
              <w:top w:val="nil"/>
              <w:left w:val="nil"/>
              <w:bottom w:val="nil"/>
              <w:right w:val="nil"/>
            </w:tcBorders>
          </w:tcPr>
          <w:p w14:paraId="4736788C" w14:textId="77777777" w:rsidR="003B7A44" w:rsidRDefault="003B7A44">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1e-4</w:t>
            </w:r>
          </w:p>
        </w:tc>
        <w:tc>
          <w:tcPr>
            <w:tcW w:w="1670" w:type="dxa"/>
            <w:vMerge w:val="restart"/>
            <w:tcBorders>
              <w:top w:val="nil"/>
              <w:left w:val="nil"/>
              <w:bottom w:val="nil"/>
              <w:right w:val="nil"/>
            </w:tcBorders>
          </w:tcPr>
          <w:p w14:paraId="0FBB6C41" w14:textId="2B469150" w:rsidR="003B7A44" w:rsidRDefault="003B7A44">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AFB61A4" wp14:editId="37F774BF">
                  <wp:extent cx="1030605" cy="15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58115"/>
                          </a:xfrm>
                          <a:prstGeom prst="rect">
                            <a:avLst/>
                          </a:prstGeom>
                          <a:noFill/>
                          <a:ln>
                            <a:noFill/>
                          </a:ln>
                        </pic:spPr>
                      </pic:pic>
                    </a:graphicData>
                  </a:graphic>
                </wp:inline>
              </w:drawing>
            </w:r>
          </w:p>
        </w:tc>
      </w:tr>
    </w:tbl>
    <w:p w14:paraId="3EE2EE05" w14:textId="77777777" w:rsidR="00EE7AC7" w:rsidRDefault="003B7A44" w:rsidP="00626AC8">
      <w:r>
        <w:t xml:space="preserve"> </w:t>
      </w:r>
    </w:p>
    <w:p w14:paraId="1994FD8F" w14:textId="738E2323" w:rsidR="00B2382A" w:rsidRDefault="001A67C6" w:rsidP="00626AC8">
      <w:r>
        <w:t xml:space="preserve">We further explored out data by analyzing the </w:t>
      </w:r>
      <w:r w:rsidR="0062557F">
        <w:t>prediction profilers below.</w:t>
      </w:r>
      <w:r w:rsidR="004E13C9">
        <w:t xml:space="preserve"> </w:t>
      </w:r>
      <w:r w:rsidR="004F390A">
        <w:t xml:space="preserve">We experimented by placing our most significant variable, carat weight, on the lowest scale and then again </w:t>
      </w:r>
      <w:r w:rsidR="000D7EED">
        <w:t xml:space="preserve">on the highest scale to examine the relationship between the other variables </w:t>
      </w:r>
      <w:r w:rsidR="00EC3C32">
        <w:t>evaluated</w:t>
      </w:r>
      <w:r w:rsidR="000D7EED">
        <w:t xml:space="preserve"> in our dataset. </w:t>
      </w:r>
      <w:r w:rsidR="00471F1A">
        <w:t xml:space="preserve">From our experiment, we can see that all of the variables measured seem to have a positive correlation in to </w:t>
      </w:r>
      <w:r w:rsidR="00D626D3">
        <w:t>each other</w:t>
      </w:r>
      <w:r w:rsidR="00471F1A">
        <w:t xml:space="preserve">, with </w:t>
      </w:r>
      <w:r w:rsidR="00471F1A">
        <w:lastRenderedPageBreak/>
        <w:t>some variables be</w:t>
      </w:r>
      <w:r w:rsidR="003C54FD">
        <w:t>ing detrimentally</w:t>
      </w:r>
      <w:r w:rsidR="00EC3C32">
        <w:t xml:space="preserve"> more</w:t>
      </w:r>
      <w:r w:rsidR="00471F1A">
        <w:t xml:space="preserve"> </w:t>
      </w:r>
      <w:r w:rsidR="00D626D3">
        <w:t>impacted</w:t>
      </w:r>
      <w:r w:rsidR="00EC3C32">
        <w:t xml:space="preserve"> </w:t>
      </w:r>
      <w:r w:rsidR="003C54FD">
        <w:t>than others</w:t>
      </w:r>
      <w:r w:rsidR="00471F1A">
        <w:t xml:space="preserve"> as earlier indicated.</w:t>
      </w:r>
      <w:r w:rsidR="002937BD">
        <w:t xml:space="preserve"> By examining our minimum and maximum parameters </w:t>
      </w:r>
      <w:r w:rsidR="00485EE5">
        <w:t xml:space="preserve">on the carat weight </w:t>
      </w:r>
      <w:r w:rsidR="00D626D3">
        <w:t>in regard to</w:t>
      </w:r>
      <w:r w:rsidR="00B84958">
        <w:t xml:space="preserve"> pric</w:t>
      </w:r>
      <w:r w:rsidR="00E83460">
        <w:t xml:space="preserve">e, we can see that </w:t>
      </w:r>
      <w:r w:rsidR="009E31F6">
        <w:t>the impact is of great significance.</w:t>
      </w:r>
      <w:r w:rsidR="00B84958">
        <w:t xml:space="preserve"> </w:t>
      </w:r>
    </w:p>
    <w:p w14:paraId="0F1D5ADD" w14:textId="7301C3CD" w:rsidR="00471F1A" w:rsidRPr="003C54FD" w:rsidRDefault="00471F1A" w:rsidP="00626AC8">
      <w:pPr>
        <w:rPr>
          <w:rFonts w:ascii="Times New Roman" w:hAnsi="Times New Roman" w:cs="Times New Roman"/>
          <w:sz w:val="24"/>
          <w:szCs w:val="24"/>
          <w:u w:val="single"/>
        </w:rPr>
      </w:pPr>
      <w:r w:rsidRPr="003C54FD">
        <w:rPr>
          <w:rFonts w:ascii="Times New Roman" w:hAnsi="Times New Roman" w:cs="Times New Roman"/>
          <w:sz w:val="24"/>
          <w:szCs w:val="24"/>
          <w:u w:val="single"/>
        </w:rPr>
        <w:t>Prediction Profiler (</w:t>
      </w:r>
      <w:r w:rsidR="0009250D" w:rsidRPr="003C54FD">
        <w:rPr>
          <w:rFonts w:ascii="Times New Roman" w:hAnsi="Times New Roman" w:cs="Times New Roman"/>
          <w:sz w:val="24"/>
          <w:szCs w:val="24"/>
          <w:u w:val="single"/>
        </w:rPr>
        <w:t>Carat Weight at minimum)</w:t>
      </w:r>
    </w:p>
    <w:p w14:paraId="0BA96915" w14:textId="70AAE906" w:rsidR="0009250D" w:rsidRDefault="0029689D" w:rsidP="00626AC8">
      <w:pPr>
        <w:rPr>
          <w:u w:val="single"/>
        </w:rPr>
      </w:pPr>
      <w:r w:rsidRPr="0029689D">
        <w:rPr>
          <w:noProof/>
          <w:u w:val="single"/>
        </w:rPr>
        <w:drawing>
          <wp:inline distT="0" distB="0" distL="0" distR="0" wp14:anchorId="67BA7580" wp14:editId="1ED0EFE8">
            <wp:extent cx="5943600" cy="25908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a:stretch>
                      <a:fillRect/>
                    </a:stretch>
                  </pic:blipFill>
                  <pic:spPr>
                    <a:xfrm>
                      <a:off x="0" y="0"/>
                      <a:ext cx="5943600" cy="2590800"/>
                    </a:xfrm>
                    <a:prstGeom prst="rect">
                      <a:avLst/>
                    </a:prstGeom>
                  </pic:spPr>
                </pic:pic>
              </a:graphicData>
            </a:graphic>
          </wp:inline>
        </w:drawing>
      </w:r>
    </w:p>
    <w:p w14:paraId="4B955739" w14:textId="31DC72EF" w:rsidR="009455D3" w:rsidRPr="003C54FD" w:rsidRDefault="0029689D" w:rsidP="00626AC8">
      <w:pPr>
        <w:rPr>
          <w:rFonts w:ascii="Times New Roman" w:hAnsi="Times New Roman" w:cs="Times New Roman"/>
          <w:sz w:val="24"/>
          <w:szCs w:val="24"/>
          <w:u w:val="single"/>
        </w:rPr>
      </w:pPr>
      <w:r w:rsidRPr="003C54FD">
        <w:rPr>
          <w:rFonts w:ascii="Times New Roman" w:hAnsi="Times New Roman" w:cs="Times New Roman"/>
          <w:sz w:val="24"/>
          <w:szCs w:val="24"/>
          <w:u w:val="single"/>
        </w:rPr>
        <w:t xml:space="preserve">Prediction Profiler (Carat Weight at </w:t>
      </w:r>
      <w:r w:rsidR="009455D3" w:rsidRPr="003C54FD">
        <w:rPr>
          <w:rFonts w:ascii="Times New Roman" w:hAnsi="Times New Roman" w:cs="Times New Roman"/>
          <w:sz w:val="24"/>
          <w:szCs w:val="24"/>
          <w:u w:val="single"/>
        </w:rPr>
        <w:t>maximum)</w:t>
      </w:r>
    </w:p>
    <w:p w14:paraId="55511087" w14:textId="77777777" w:rsidR="00B570C4" w:rsidRDefault="00021C33" w:rsidP="00626AC8">
      <w:r w:rsidRPr="00021C33">
        <w:rPr>
          <w:noProof/>
        </w:rPr>
        <w:drawing>
          <wp:inline distT="0" distB="0" distL="0" distR="0" wp14:anchorId="6BB0C9A3" wp14:editId="783471F7">
            <wp:extent cx="5943600" cy="259080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0"/>
                    <a:stretch>
                      <a:fillRect/>
                    </a:stretch>
                  </pic:blipFill>
                  <pic:spPr>
                    <a:xfrm>
                      <a:off x="0" y="0"/>
                      <a:ext cx="5943600" cy="2590800"/>
                    </a:xfrm>
                    <a:prstGeom prst="rect">
                      <a:avLst/>
                    </a:prstGeom>
                  </pic:spPr>
                </pic:pic>
              </a:graphicData>
            </a:graphic>
          </wp:inline>
        </w:drawing>
      </w:r>
      <w:r w:rsidRPr="00021C33">
        <w:t xml:space="preserve"> </w:t>
      </w:r>
    </w:p>
    <w:p w14:paraId="4EEEAB9D" w14:textId="76B11B82" w:rsidR="00626AC8" w:rsidRPr="005A0C5C" w:rsidRDefault="00BA4242" w:rsidP="00626AC8">
      <w:pPr>
        <w:rPr>
          <w:rFonts w:ascii="Times New Roman" w:hAnsi="Times New Roman" w:cs="Times New Roman"/>
          <w:sz w:val="24"/>
          <w:szCs w:val="24"/>
        </w:rPr>
      </w:pPr>
      <w:r>
        <w:tab/>
      </w:r>
      <w:r w:rsidRPr="00A61C3E">
        <w:rPr>
          <w:rFonts w:ascii="Times New Roman" w:hAnsi="Times New Roman" w:cs="Times New Roman"/>
          <w:sz w:val="24"/>
          <w:szCs w:val="24"/>
          <w:shd w:val="clear" w:color="auto" w:fill="FFFFFF"/>
        </w:rPr>
        <w:t xml:space="preserve">In closing of our analysis, we can say with certain confidence that </w:t>
      </w:r>
      <w:r>
        <w:rPr>
          <w:rFonts w:ascii="Times New Roman" w:hAnsi="Times New Roman" w:cs="Times New Roman"/>
          <w:sz w:val="24"/>
          <w:szCs w:val="24"/>
          <w:shd w:val="clear" w:color="auto" w:fill="FFFFFF"/>
        </w:rPr>
        <w:t>Complex Neural Network (CNN)</w:t>
      </w:r>
      <w:r w:rsidRPr="00A61C3E">
        <w:rPr>
          <w:rFonts w:ascii="Times New Roman" w:hAnsi="Times New Roman" w:cs="Times New Roman"/>
          <w:sz w:val="24"/>
          <w:szCs w:val="24"/>
          <w:shd w:val="clear" w:color="auto" w:fill="FFFFFF"/>
        </w:rPr>
        <w:t xml:space="preserve"> performs adequately as opposed </w:t>
      </w:r>
      <w:r w:rsidR="00C7017E">
        <w:rPr>
          <w:rFonts w:ascii="Times New Roman" w:hAnsi="Times New Roman" w:cs="Times New Roman"/>
          <w:sz w:val="24"/>
          <w:szCs w:val="24"/>
          <w:shd w:val="clear" w:color="auto" w:fill="FFFFFF"/>
        </w:rPr>
        <w:t>a simple Neural Network (NN) in the discussion of this particular dataset</w:t>
      </w:r>
      <w:r w:rsidRPr="00A61C3E">
        <w:rPr>
          <w:rFonts w:ascii="Times New Roman" w:hAnsi="Times New Roman" w:cs="Times New Roman"/>
          <w:sz w:val="24"/>
          <w:szCs w:val="24"/>
          <w:shd w:val="clear" w:color="auto" w:fill="FFFFFF"/>
        </w:rPr>
        <w:t xml:space="preserve">. This can be seen on our overall analysis of the other performance methods </w:t>
      </w:r>
      <w:r w:rsidR="00C7017E">
        <w:rPr>
          <w:rFonts w:ascii="Times New Roman" w:hAnsi="Times New Roman" w:cs="Times New Roman"/>
          <w:sz w:val="24"/>
          <w:szCs w:val="24"/>
          <w:shd w:val="clear" w:color="auto" w:fill="FFFFFF"/>
        </w:rPr>
        <w:t>CNN</w:t>
      </w:r>
      <w:r w:rsidRPr="00A61C3E">
        <w:rPr>
          <w:rFonts w:ascii="Times New Roman" w:hAnsi="Times New Roman" w:cs="Times New Roman"/>
          <w:sz w:val="24"/>
          <w:szCs w:val="24"/>
          <w:shd w:val="clear" w:color="auto" w:fill="FFFFFF"/>
        </w:rPr>
        <w:t xml:space="preserve"> has proven to be superior statistically speaking. </w:t>
      </w:r>
      <w:r w:rsidR="00CD2C59">
        <w:rPr>
          <w:rFonts w:ascii="Times New Roman" w:hAnsi="Times New Roman" w:cs="Times New Roman"/>
          <w:sz w:val="24"/>
          <w:szCs w:val="24"/>
          <w:shd w:val="clear" w:color="auto" w:fill="FFFFFF"/>
        </w:rPr>
        <w:t xml:space="preserve">Given the competition in the jewelry industry, it is vital that companies </w:t>
      </w:r>
      <w:r w:rsidR="00A570D5">
        <w:rPr>
          <w:rFonts w:ascii="Times New Roman" w:hAnsi="Times New Roman" w:cs="Times New Roman"/>
          <w:sz w:val="24"/>
          <w:szCs w:val="24"/>
          <w:shd w:val="clear" w:color="auto" w:fill="FFFFFF"/>
        </w:rPr>
        <w:t xml:space="preserve">have access to the best modeling analysis methods available </w:t>
      </w:r>
      <w:r w:rsidR="00225E2F">
        <w:rPr>
          <w:rFonts w:ascii="Times New Roman" w:hAnsi="Times New Roman" w:cs="Times New Roman"/>
          <w:sz w:val="24"/>
          <w:szCs w:val="24"/>
          <w:shd w:val="clear" w:color="auto" w:fill="FFFFFF"/>
        </w:rPr>
        <w:t>in order to stay relevant</w:t>
      </w:r>
      <w:r w:rsidR="00780DEE">
        <w:rPr>
          <w:rFonts w:ascii="Times New Roman" w:hAnsi="Times New Roman" w:cs="Times New Roman"/>
          <w:sz w:val="24"/>
          <w:szCs w:val="24"/>
          <w:shd w:val="clear" w:color="auto" w:fill="FFFFFF"/>
        </w:rPr>
        <w:t>.</w:t>
      </w:r>
      <w:r w:rsidR="00E80362">
        <w:rPr>
          <w:rFonts w:ascii="Times New Roman" w:hAnsi="Times New Roman" w:cs="Times New Roman"/>
          <w:sz w:val="24"/>
          <w:szCs w:val="24"/>
          <w:shd w:val="clear" w:color="auto" w:fill="FFFFFF"/>
        </w:rPr>
        <w:t xml:space="preserve"> By seeing the significance of each variable associated with the pricing of diamonds, companies are able to </w:t>
      </w:r>
      <w:r w:rsidR="000E3FF6">
        <w:rPr>
          <w:rFonts w:ascii="Times New Roman" w:hAnsi="Times New Roman" w:cs="Times New Roman"/>
          <w:sz w:val="24"/>
          <w:szCs w:val="24"/>
          <w:shd w:val="clear" w:color="auto" w:fill="FFFFFF"/>
        </w:rPr>
        <w:t xml:space="preserve">make better economic decisions </w:t>
      </w:r>
      <w:r w:rsidR="004E35AB">
        <w:rPr>
          <w:rFonts w:ascii="Times New Roman" w:hAnsi="Times New Roman" w:cs="Times New Roman"/>
          <w:sz w:val="24"/>
          <w:szCs w:val="24"/>
          <w:shd w:val="clear" w:color="auto" w:fill="FFFFFF"/>
        </w:rPr>
        <w:t>on each diamond purchase, potentially saving the companies millions in lost revenue</w:t>
      </w:r>
      <w:r w:rsidR="00CA0B77">
        <w:rPr>
          <w:rFonts w:ascii="Times New Roman" w:hAnsi="Times New Roman" w:cs="Times New Roman"/>
          <w:sz w:val="24"/>
          <w:szCs w:val="24"/>
          <w:shd w:val="clear" w:color="auto" w:fill="FFFFFF"/>
        </w:rPr>
        <w:t>.</w:t>
      </w:r>
    </w:p>
    <w:sectPr w:rsidR="00626AC8" w:rsidRPr="005A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6D"/>
    <w:rsid w:val="00021C33"/>
    <w:rsid w:val="0008786D"/>
    <w:rsid w:val="0009250D"/>
    <w:rsid w:val="000A4468"/>
    <w:rsid w:val="000D7EED"/>
    <w:rsid w:val="000E3FF6"/>
    <w:rsid w:val="00185B92"/>
    <w:rsid w:val="00186FBD"/>
    <w:rsid w:val="001A67C6"/>
    <w:rsid w:val="002001C8"/>
    <w:rsid w:val="00225E2F"/>
    <w:rsid w:val="002937BD"/>
    <w:rsid w:val="0029689D"/>
    <w:rsid w:val="002F1086"/>
    <w:rsid w:val="003322CD"/>
    <w:rsid w:val="00357A74"/>
    <w:rsid w:val="003B7A44"/>
    <w:rsid w:val="003C54FD"/>
    <w:rsid w:val="00471F1A"/>
    <w:rsid w:val="00485EE5"/>
    <w:rsid w:val="004C059E"/>
    <w:rsid w:val="004E13C9"/>
    <w:rsid w:val="004E35AB"/>
    <w:rsid w:val="004F390A"/>
    <w:rsid w:val="005C4E46"/>
    <w:rsid w:val="0062557F"/>
    <w:rsid w:val="00626AC8"/>
    <w:rsid w:val="006F48A6"/>
    <w:rsid w:val="00780DEE"/>
    <w:rsid w:val="00786B36"/>
    <w:rsid w:val="007C246F"/>
    <w:rsid w:val="0089448B"/>
    <w:rsid w:val="0090074E"/>
    <w:rsid w:val="009455D3"/>
    <w:rsid w:val="009E31F6"/>
    <w:rsid w:val="00A570D5"/>
    <w:rsid w:val="00B2382A"/>
    <w:rsid w:val="00B570C4"/>
    <w:rsid w:val="00B84958"/>
    <w:rsid w:val="00BA4242"/>
    <w:rsid w:val="00BF6251"/>
    <w:rsid w:val="00C10CDE"/>
    <w:rsid w:val="00C7017E"/>
    <w:rsid w:val="00CA0B77"/>
    <w:rsid w:val="00CD2C59"/>
    <w:rsid w:val="00D43230"/>
    <w:rsid w:val="00D626D3"/>
    <w:rsid w:val="00E80362"/>
    <w:rsid w:val="00E83460"/>
    <w:rsid w:val="00EC3C32"/>
    <w:rsid w:val="00EE7AC7"/>
    <w:rsid w:val="00FA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9B56"/>
  <w15:chartTrackingRefBased/>
  <w15:docId w15:val="{8F2240FC-A94E-4225-9475-AE67A6AA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bradley</dc:creator>
  <cp:keywords/>
  <dc:description/>
  <cp:lastModifiedBy>zack bradley</cp:lastModifiedBy>
  <cp:revision>2</cp:revision>
  <dcterms:created xsi:type="dcterms:W3CDTF">2022-02-21T20:16:00Z</dcterms:created>
  <dcterms:modified xsi:type="dcterms:W3CDTF">2022-02-21T20:16:00Z</dcterms:modified>
</cp:coreProperties>
</file>