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Meterwise Data and Application Security Readiness Review</w:t>
      </w:r>
    </w:p>
    <w:p>
      <w:pPr>
        <w:pStyle w:val="Subtitle"/>
      </w:pPr>
      <w:r>
        <w:t>ISO 27001  SOC 2  IRAP  Essential Eight</w:t>
      </w:r>
    </w:p>
    <w:p>
      <w:r>
        <w:t>4 October 2026 | Prepared for developers and security reviewers</w:t>
      </w:r>
    </w:p>
    <w:p>
      <w:pPr>
        <w:pStyle w:val="Heading1"/>
      </w:pPr>
      <w:r>
        <w:t>Review conclusion</w:t>
      </w:r>
    </w:p>
    <w:p>
      <w:r>
        <w:t>Meterwise includes useful application security controls, but the evidence reviewed does not establish compliance with any of the four frameworks. A confirmed MFA replacement bypass and incomplete tenant-history isolation require attention before the service handles real tenant data.</w:t>
      </w:r>
    </w:p>
    <w:p>
      <w:r>
        <w:t>The Docker configuration provides a working local demo. A production deployment also needs controlled identity provisioning, HTTPS, protected secrets, backup recovery, monitoring and operational evidence.</w:t>
      </w:r>
    </w:p>
    <w:p>
      <w:pPr>
        <w:pStyle w:val="Heading1"/>
      </w:pPr>
      <w:r>
        <w:t>Scope and evidence</w:t>
      </w:r>
    </w:p>
    <w:p>
      <w:r>
        <w:t>The review covered backend authentication, authorisation, tenant data handling, consent, audit logging, security headers, frontend session storage, dependency handling and the Docker configuration. Framework guidance was checked against official ISO, AICPA and ASD sources on 4 October 2026.</w:t>
      </w:r>
    </w:p>
    <w:p>
      <w:r>
        <w:t>Evidence consists of source inspection, 32 passing targeted security, portal and meter-data tests, and a separate MFA reproduction in a disposable database with demo mode disabled. The earlier Docker validation passed 167 backend tests. Docker became unavailable during the review; the successful MFA reproduction used the local Python environment.</w:t>
      </w:r>
    </w:p>
    <w:p>
      <w:r>
        <w:t>This is a readiness review. It is not an independent penetration test, certification, SOC 2 examination or IRAP assessment. Host encryption, endpoint controls, cloud configuration and organisational processes were not assessed. No fresh dependency vulnerability scan was run. Application code and the live programme database were not changed during the review.</w:t>
      </w:r>
    </w:p>
    <w:p>
      <w:pPr>
        <w:pStyle w:val="Heading1"/>
      </w:pPr>
      <w:r>
        <w:t>Evidence labels</w:t>
      </w:r>
    </w:p>
    <w:p>
      <w:r>
        <w:t>Confirmed means the behaviour was reproduced. Code finding means the implementation supports the finding, without a dedicated reproduction. Deployment gap means the reviewed configuration does not provide the control. Unassessed means evidence outside the repository is needed.</w:t>
      </w:r>
    </w:p>
    <w:p>
      <w:r>
        <w:br w:type="page"/>
      </w:r>
    </w:p>
    <w:p>
      <w:pPr>
        <w:pStyle w:val="Heading1"/>
      </w:pPr>
      <w:r>
        <w:t>Findings and remediation priorities</w:t>
      </w:r>
    </w:p>
    <w:p>
      <w:r>
        <w:t>High findings should block introduction of real tenant data until the risk is addressed or explicitly accepted by the responsible service owner. Medium findings require treatment as part of production readiness. Severity reflects this application and intended data use; no CVSS score was assigned.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656"/>
        <w:gridCol w:w="5328"/>
        <w:gridCol w:w="2160"/>
      </w:tblGrid>
      <w:tr>
        <w:trPr>
          <w:cantSplit/>
          <w:tblHeader/>
        </w:trPr>
        <w:tc>
          <w:tcPr>
            <w:tcW w:type="dxa" w:w="648"/>
            <w:vAlign w:val="center"/>
            <w:tcMar>
              <w:top w:w="90" w:type="dxa"/>
              <w:bottom w:w="90" w:type="dxa"/>
              <w:left w:w="90" w:type="dxa"/>
              <w:right w:w="90" w:type="dxa"/>
            </w:tcMar>
            <w:shd w:fill="17365D"/>
          </w:tcPr>
          <w:p>
            <w:pPr>
              <w:spacing w:after="60" w:line="252" w:lineRule="auto"/>
            </w:pPr>
            <w:r>
              <w:rPr>
                <w:b/>
                <w:color w:val="FFFFFF"/>
                <w:sz w:val="18"/>
              </w:rPr>
              <w:t>ID</w:t>
            </w:r>
          </w:p>
        </w:tc>
        <w:tc>
          <w:tcPr>
            <w:tcW w:type="dxa" w:w="1656"/>
            <w:vAlign w:val="center"/>
            <w:tcMar>
              <w:top w:w="90" w:type="dxa"/>
              <w:bottom w:w="90" w:type="dxa"/>
              <w:left w:w="90" w:type="dxa"/>
              <w:right w:w="90" w:type="dxa"/>
            </w:tcMar>
            <w:shd w:fill="17365D"/>
          </w:tcPr>
          <w:p>
            <w:pPr>
              <w:spacing w:after="60" w:line="252" w:lineRule="auto"/>
            </w:pPr>
            <w:r>
              <w:rPr>
                <w:b/>
                <w:color w:val="FFFFFF"/>
                <w:sz w:val="18"/>
              </w:rPr>
              <w:t>Priority</w:t>
            </w:r>
          </w:p>
        </w:tc>
        <w:tc>
          <w:tcPr>
            <w:tcW w:type="dxa" w:w="5328"/>
            <w:vAlign w:val="center"/>
            <w:tcMar>
              <w:top w:w="90" w:type="dxa"/>
              <w:bottom w:w="90" w:type="dxa"/>
              <w:left w:w="90" w:type="dxa"/>
              <w:right w:w="90" w:type="dxa"/>
            </w:tcMar>
            <w:shd w:fill="17365D"/>
          </w:tcPr>
          <w:p>
            <w:pPr>
              <w:spacing w:after="60" w:line="252" w:lineRule="auto"/>
            </w:pPr>
            <w:r>
              <w:rPr>
                <w:b/>
                <w:color w:val="FFFFFF"/>
                <w:sz w:val="18"/>
              </w:rPr>
              <w:t>Finding</w:t>
            </w:r>
          </w:p>
        </w:tc>
        <w:tc>
          <w:tcPr>
            <w:tcW w:type="dxa" w:w="2160"/>
            <w:vAlign w:val="center"/>
            <w:tcMar>
              <w:top w:w="90" w:type="dxa"/>
              <w:bottom w:w="90" w:type="dxa"/>
              <w:left w:w="90" w:type="dxa"/>
              <w:right w:w="90" w:type="dxa"/>
            </w:tcMar>
            <w:shd w:fill="17365D"/>
          </w:tcPr>
          <w:p>
            <w:pPr>
              <w:spacing w:after="60" w:line="252" w:lineRule="auto"/>
            </w:pPr>
            <w:r>
              <w:rPr>
                <w:b/>
                <w:color w:val="FFFFFF"/>
                <w:sz w:val="18"/>
              </w:rPr>
              <w:t>Evidence</w:t>
            </w:r>
          </w:p>
        </w:tc>
      </w:tr>
      <w:tr>
        <w:trPr>
          <w:cantSplit/>
        </w:trPr>
        <w:tc>
          <w:tcPr>
            <w:tcW w:type="dxa" w:w="648"/>
            <w:vAlign w:val="center"/>
            <w:tcMar>
              <w:top w:w="90" w:type="dxa"/>
              <w:bottom w:w="90" w:type="dxa"/>
              <w:left w:w="90" w:type="dxa"/>
              <w:right w:w="90" w:type="dxa"/>
            </w:tcMar>
            <w:shd w:fill="F2F5F8"/>
          </w:tcPr>
          <w:p>
            <w:pPr>
              <w:spacing w:after="60" w:line="252" w:lineRule="auto"/>
            </w:pPr>
            <w:r>
              <w:rPr>
                <w:b w:val="0"/>
                <w:color w:val="000000"/>
                <w:sz w:val="18"/>
              </w:rPr>
              <w:t>F01</w:t>
            </w:r>
          </w:p>
        </w:tc>
        <w:tc>
          <w:tcPr>
            <w:tcW w:type="dxa" w:w="1656"/>
            <w:vAlign w:val="center"/>
            <w:tcMar>
              <w:top w:w="90" w:type="dxa"/>
              <w:bottom w:w="90" w:type="dxa"/>
              <w:left w:w="90" w:type="dxa"/>
              <w:right w:w="90" w:type="dxa"/>
            </w:tcMar>
            <w:shd w:fill="F2F5F8"/>
          </w:tcPr>
          <w:p>
            <w:pPr>
              <w:spacing w:after="60" w:line="252" w:lineRule="auto"/>
            </w:pPr>
            <w:r>
              <w:rPr>
                <w:b w:val="0"/>
                <w:color w:val="000000"/>
                <w:sz w:val="18"/>
              </w:rPr>
              <w:t>High</w:t>
            </w:r>
          </w:p>
        </w:tc>
        <w:tc>
          <w:tcPr>
            <w:tcW w:type="dxa" w:w="5328"/>
            <w:vAlign w:val="center"/>
            <w:tcMar>
              <w:top w:w="90" w:type="dxa"/>
              <w:bottom w:w="90" w:type="dxa"/>
              <w:left w:w="90" w:type="dxa"/>
              <w:right w:w="90" w:type="dxa"/>
            </w:tcMar>
            <w:shd w:fill="F2F5F8"/>
          </w:tcPr>
          <w:p>
            <w:pPr>
              <w:spacing w:after="60" w:line="252" w:lineRule="auto"/>
            </w:pPr>
            <w:r>
              <w:rPr>
                <w:b w:val="0"/>
                <w:color w:val="000000"/>
                <w:sz w:val="18"/>
              </w:rPr>
              <w:t>Existing MFA can be replaced with a password-stage ticket</w:t>
            </w:r>
          </w:p>
        </w:tc>
        <w:tc>
          <w:tcPr>
            <w:tcW w:type="dxa" w:w="2160"/>
            <w:vAlign w:val="center"/>
            <w:tcMar>
              <w:top w:w="90" w:type="dxa"/>
              <w:bottom w:w="90" w:type="dxa"/>
              <w:left w:w="90" w:type="dxa"/>
              <w:right w:w="90" w:type="dxa"/>
            </w:tcMar>
            <w:shd w:fill="F2F5F8"/>
          </w:tcPr>
          <w:p>
            <w:pPr>
              <w:spacing w:after="60" w:line="252" w:lineRule="auto"/>
            </w:pPr>
            <w:r>
              <w:rPr>
                <w:b w:val="0"/>
                <w:color w:val="000000"/>
                <w:sz w:val="18"/>
              </w:rPr>
              <w:t>Confirmed</w:t>
            </w:r>
          </w:p>
        </w:tc>
      </w:tr>
      <w:tr>
        <w:trPr>
          <w:cantSplit/>
        </w:trPr>
        <w:tc>
          <w:tcPr>
            <w:tcW w:type="dxa" w:w="648"/>
            <w:vAlign w:val="center"/>
            <w:tcMar>
              <w:top w:w="90" w:type="dxa"/>
              <w:bottom w:w="90" w:type="dxa"/>
              <w:left w:w="90" w:type="dxa"/>
              <w:right w:w="90" w:type="dxa"/>
            </w:tcMar>
            <w:shd w:fill="FFFFFF"/>
          </w:tcPr>
          <w:p>
            <w:pPr>
              <w:spacing w:after="60" w:line="252" w:lineRule="auto"/>
            </w:pPr>
            <w:r>
              <w:rPr>
                <w:b w:val="0"/>
                <w:color w:val="000000"/>
                <w:sz w:val="18"/>
              </w:rPr>
              <w:t>F02</w:t>
            </w:r>
          </w:p>
        </w:tc>
        <w:tc>
          <w:tcPr>
            <w:tcW w:type="dxa" w:w="1656"/>
            <w:vAlign w:val="center"/>
            <w:tcMar>
              <w:top w:w="90" w:type="dxa"/>
              <w:bottom w:w="90" w:type="dxa"/>
              <w:left w:w="90" w:type="dxa"/>
              <w:right w:w="90" w:type="dxa"/>
            </w:tcMar>
            <w:shd w:fill="FFFFFF"/>
          </w:tcPr>
          <w:p>
            <w:pPr>
              <w:spacing w:after="60" w:line="252" w:lineRule="auto"/>
            </w:pPr>
            <w:r>
              <w:rPr>
                <w:b w:val="0"/>
                <w:color w:val="000000"/>
                <w:sz w:val="18"/>
              </w:rPr>
              <w:t>High</w:t>
            </w:r>
          </w:p>
        </w:tc>
        <w:tc>
          <w:tcPr>
            <w:tcW w:type="dxa" w:w="5328"/>
            <w:vAlign w:val="center"/>
            <w:tcMar>
              <w:top w:w="90" w:type="dxa"/>
              <w:bottom w:w="90" w:type="dxa"/>
              <w:left w:w="90" w:type="dxa"/>
              <w:right w:w="90" w:type="dxa"/>
            </w:tcMar>
            <w:shd w:fill="FFFFFF"/>
          </w:tcPr>
          <w:p>
            <w:pPr>
              <w:spacing w:after="60" w:line="252" w:lineRule="auto"/>
            </w:pPr>
            <w:r>
              <w:rPr>
                <w:b w:val="0"/>
                <w:color w:val="000000"/>
                <w:sz w:val="18"/>
              </w:rPr>
              <w:t>Tenant exports and readings expose flat history across tenancies</w:t>
            </w:r>
          </w:p>
        </w:tc>
        <w:tc>
          <w:tcPr>
            <w:tcW w:type="dxa" w:w="2160"/>
            <w:vAlign w:val="center"/>
            <w:tcMar>
              <w:top w:w="90" w:type="dxa"/>
              <w:bottom w:w="90" w:type="dxa"/>
              <w:left w:w="90" w:type="dxa"/>
              <w:right w:w="90" w:type="dxa"/>
            </w:tcMar>
            <w:shd w:fill="FFFFFF"/>
          </w:tcPr>
          <w:p>
            <w:pPr>
              <w:spacing w:after="60" w:line="252" w:lineRule="auto"/>
            </w:pPr>
            <w:r>
              <w:rPr>
                <w:b w:val="0"/>
                <w:color w:val="000000"/>
                <w:sz w:val="18"/>
              </w:rPr>
              <w:t>Code finding</w:t>
            </w:r>
          </w:p>
        </w:tc>
      </w:tr>
      <w:tr>
        <w:trPr>
          <w:cantSplit/>
        </w:trPr>
        <w:tc>
          <w:tcPr>
            <w:tcW w:type="dxa" w:w="648"/>
            <w:vAlign w:val="center"/>
            <w:tcMar>
              <w:top w:w="90" w:type="dxa"/>
              <w:bottom w:w="90" w:type="dxa"/>
              <w:left w:w="90" w:type="dxa"/>
              <w:right w:w="90" w:type="dxa"/>
            </w:tcMar>
            <w:shd w:fill="F2F5F8"/>
          </w:tcPr>
          <w:p>
            <w:pPr>
              <w:spacing w:after="60" w:line="252" w:lineRule="auto"/>
            </w:pPr>
            <w:r>
              <w:rPr>
                <w:b w:val="0"/>
                <w:color w:val="000000"/>
                <w:sz w:val="18"/>
              </w:rPr>
              <w:t>F03</w:t>
            </w:r>
          </w:p>
        </w:tc>
        <w:tc>
          <w:tcPr>
            <w:tcW w:type="dxa" w:w="1656"/>
            <w:vAlign w:val="center"/>
            <w:tcMar>
              <w:top w:w="90" w:type="dxa"/>
              <w:bottom w:w="90" w:type="dxa"/>
              <w:left w:w="90" w:type="dxa"/>
              <w:right w:w="90" w:type="dxa"/>
            </w:tcMar>
            <w:shd w:fill="F2F5F8"/>
          </w:tcPr>
          <w:p>
            <w:pPr>
              <w:spacing w:after="60" w:line="252" w:lineRule="auto"/>
            </w:pPr>
            <w:r>
              <w:rPr>
                <w:b w:val="0"/>
                <w:color w:val="000000"/>
                <w:sz w:val="18"/>
              </w:rPr>
              <w:t>High for production</w:t>
            </w:r>
          </w:p>
        </w:tc>
        <w:tc>
          <w:tcPr>
            <w:tcW w:type="dxa" w:w="5328"/>
            <w:vAlign w:val="center"/>
            <w:tcMar>
              <w:top w:w="90" w:type="dxa"/>
              <w:bottom w:w="90" w:type="dxa"/>
              <w:left w:w="90" w:type="dxa"/>
              <w:right w:w="90" w:type="dxa"/>
            </w:tcMar>
            <w:shd w:fill="F2F5F8"/>
          </w:tcPr>
          <w:p>
            <w:pPr>
              <w:spacing w:after="60" w:line="252" w:lineRule="auto"/>
            </w:pPr>
            <w:r>
              <w:rPr>
                <w:b w:val="0"/>
                <w:color w:val="000000"/>
                <w:sz w:val="18"/>
              </w:rPr>
              <w:t>Demo defaults and account seeding remain enabled</w:t>
            </w:r>
          </w:p>
        </w:tc>
        <w:tc>
          <w:tcPr>
            <w:tcW w:type="dxa" w:w="2160"/>
            <w:vAlign w:val="center"/>
            <w:tcMar>
              <w:top w:w="90" w:type="dxa"/>
              <w:bottom w:w="90" w:type="dxa"/>
              <w:left w:w="90" w:type="dxa"/>
              <w:right w:w="90" w:type="dxa"/>
            </w:tcMar>
            <w:shd w:fill="F2F5F8"/>
          </w:tcPr>
          <w:p>
            <w:pPr>
              <w:spacing w:after="60" w:line="252" w:lineRule="auto"/>
            </w:pPr>
            <w:r>
              <w:rPr>
                <w:b w:val="0"/>
                <w:color w:val="000000"/>
                <w:sz w:val="18"/>
              </w:rPr>
              <w:t>Deployment gap</w:t>
            </w:r>
          </w:p>
        </w:tc>
      </w:tr>
      <w:tr>
        <w:trPr>
          <w:cantSplit/>
        </w:trPr>
        <w:tc>
          <w:tcPr>
            <w:tcW w:type="dxa" w:w="648"/>
            <w:vAlign w:val="center"/>
            <w:tcMar>
              <w:top w:w="90" w:type="dxa"/>
              <w:bottom w:w="90" w:type="dxa"/>
              <w:left w:w="90" w:type="dxa"/>
              <w:right w:w="90" w:type="dxa"/>
            </w:tcMar>
            <w:shd w:fill="FFFFFF"/>
          </w:tcPr>
          <w:p>
            <w:pPr>
              <w:spacing w:after="60" w:line="252" w:lineRule="auto"/>
            </w:pPr>
            <w:r>
              <w:rPr>
                <w:b w:val="0"/>
                <w:color w:val="000000"/>
                <w:sz w:val="18"/>
              </w:rPr>
              <w:t>F04</w:t>
            </w:r>
          </w:p>
        </w:tc>
        <w:tc>
          <w:tcPr>
            <w:tcW w:type="dxa" w:w="1656"/>
            <w:vAlign w:val="center"/>
            <w:tcMar>
              <w:top w:w="90" w:type="dxa"/>
              <w:bottom w:w="90" w:type="dxa"/>
              <w:left w:w="90" w:type="dxa"/>
              <w:right w:w="90" w:type="dxa"/>
            </w:tcMar>
            <w:shd w:fill="FFFFFF"/>
          </w:tcPr>
          <w:p>
            <w:pPr>
              <w:spacing w:after="60" w:line="252" w:lineRule="auto"/>
            </w:pPr>
            <w:r>
              <w:rPr>
                <w:b w:val="0"/>
                <w:color w:val="000000"/>
                <w:sz w:val="18"/>
              </w:rPr>
              <w:t>High for sensitive data</w:t>
            </w:r>
          </w:p>
        </w:tc>
        <w:tc>
          <w:tcPr>
            <w:tcW w:type="dxa" w:w="5328"/>
            <w:vAlign w:val="center"/>
            <w:tcMar>
              <w:top w:w="90" w:type="dxa"/>
              <w:bottom w:w="90" w:type="dxa"/>
              <w:left w:w="90" w:type="dxa"/>
              <w:right w:w="90" w:type="dxa"/>
            </w:tcMar>
            <w:shd w:fill="FFFFFF"/>
          </w:tcPr>
          <w:p>
            <w:pPr>
              <w:spacing w:after="60" w:line="252" w:lineRule="auto"/>
            </w:pPr>
            <w:r>
              <w:rPr>
                <w:b w:val="0"/>
                <w:color w:val="000000"/>
                <w:sz w:val="18"/>
              </w:rPr>
              <w:t>TOTP secrets and tenant access codes stored directly in SQLite</w:t>
            </w:r>
          </w:p>
        </w:tc>
        <w:tc>
          <w:tcPr>
            <w:tcW w:type="dxa" w:w="2160"/>
            <w:vAlign w:val="center"/>
            <w:tcMar>
              <w:top w:w="90" w:type="dxa"/>
              <w:bottom w:w="90" w:type="dxa"/>
              <w:left w:w="90" w:type="dxa"/>
              <w:right w:w="90" w:type="dxa"/>
            </w:tcMar>
            <w:shd w:fill="FFFFFF"/>
          </w:tcPr>
          <w:p>
            <w:pPr>
              <w:spacing w:after="60" w:line="252" w:lineRule="auto"/>
            </w:pPr>
            <w:r>
              <w:rPr>
                <w:b w:val="0"/>
                <w:color w:val="000000"/>
                <w:sz w:val="18"/>
              </w:rPr>
              <w:t>Code finding</w:t>
            </w:r>
          </w:p>
        </w:tc>
      </w:tr>
      <w:tr>
        <w:trPr>
          <w:cantSplit/>
        </w:trPr>
        <w:tc>
          <w:tcPr>
            <w:tcW w:type="dxa" w:w="648"/>
            <w:vAlign w:val="center"/>
            <w:tcMar>
              <w:top w:w="90" w:type="dxa"/>
              <w:bottom w:w="90" w:type="dxa"/>
              <w:left w:w="90" w:type="dxa"/>
              <w:right w:w="90" w:type="dxa"/>
            </w:tcMar>
            <w:shd w:fill="F2F5F8"/>
          </w:tcPr>
          <w:p>
            <w:pPr>
              <w:spacing w:after="60" w:line="252" w:lineRule="auto"/>
            </w:pPr>
            <w:r>
              <w:rPr>
                <w:b w:val="0"/>
                <w:color w:val="000000"/>
                <w:sz w:val="18"/>
              </w:rPr>
              <w:t>F05</w:t>
            </w:r>
          </w:p>
        </w:tc>
        <w:tc>
          <w:tcPr>
            <w:tcW w:type="dxa" w:w="1656"/>
            <w:vAlign w:val="center"/>
            <w:tcMar>
              <w:top w:w="90" w:type="dxa"/>
              <w:bottom w:w="90" w:type="dxa"/>
              <w:left w:w="90" w:type="dxa"/>
              <w:right w:w="90" w:type="dxa"/>
            </w:tcMar>
            <w:shd w:fill="F2F5F8"/>
          </w:tcPr>
          <w:p>
            <w:pPr>
              <w:spacing w:after="60" w:line="252" w:lineRule="auto"/>
            </w:pPr>
            <w:r>
              <w:rPr>
                <w:b w:val="0"/>
                <w:color w:val="000000"/>
                <w:sz w:val="18"/>
              </w:rPr>
              <w:t>High for availability</w:t>
            </w:r>
          </w:p>
        </w:tc>
        <w:tc>
          <w:tcPr>
            <w:tcW w:type="dxa" w:w="5328"/>
            <w:vAlign w:val="center"/>
            <w:tcMar>
              <w:top w:w="90" w:type="dxa"/>
              <w:bottom w:w="90" w:type="dxa"/>
              <w:left w:w="90" w:type="dxa"/>
              <w:right w:w="90" w:type="dxa"/>
            </w:tcMar>
            <w:shd w:fill="F2F5F8"/>
          </w:tcPr>
          <w:p>
            <w:pPr>
              <w:spacing w:after="60" w:line="252" w:lineRule="auto"/>
            </w:pPr>
            <w:r>
              <w:rPr>
                <w:b w:val="0"/>
                <w:color w:val="000000"/>
                <w:sz w:val="18"/>
              </w:rPr>
              <w:t>No configured backup or demonstrated recovery</w:t>
            </w:r>
          </w:p>
        </w:tc>
        <w:tc>
          <w:tcPr>
            <w:tcW w:type="dxa" w:w="2160"/>
            <w:vAlign w:val="center"/>
            <w:tcMar>
              <w:top w:w="90" w:type="dxa"/>
              <w:bottom w:w="90" w:type="dxa"/>
              <w:left w:w="90" w:type="dxa"/>
              <w:right w:w="90" w:type="dxa"/>
            </w:tcMar>
            <w:shd w:fill="F2F5F8"/>
          </w:tcPr>
          <w:p>
            <w:pPr>
              <w:spacing w:after="60" w:line="252" w:lineRule="auto"/>
            </w:pPr>
            <w:r>
              <w:rPr>
                <w:b w:val="0"/>
                <w:color w:val="000000"/>
                <w:sz w:val="18"/>
              </w:rPr>
              <w:t>Deployment gap</w:t>
            </w:r>
          </w:p>
        </w:tc>
      </w:tr>
      <w:tr>
        <w:trPr>
          <w:cantSplit/>
        </w:trPr>
        <w:tc>
          <w:tcPr>
            <w:tcW w:type="dxa" w:w="648"/>
            <w:vAlign w:val="center"/>
            <w:tcMar>
              <w:top w:w="90" w:type="dxa"/>
              <w:bottom w:w="90" w:type="dxa"/>
              <w:left w:w="90" w:type="dxa"/>
              <w:right w:w="90" w:type="dxa"/>
            </w:tcMar>
            <w:shd w:fill="FFFFFF"/>
          </w:tcPr>
          <w:p>
            <w:pPr>
              <w:spacing w:after="60" w:line="252" w:lineRule="auto"/>
            </w:pPr>
            <w:r>
              <w:rPr>
                <w:b w:val="0"/>
                <w:color w:val="000000"/>
                <w:sz w:val="18"/>
              </w:rPr>
              <w:t>F06</w:t>
            </w:r>
          </w:p>
        </w:tc>
        <w:tc>
          <w:tcPr>
            <w:tcW w:type="dxa" w:w="1656"/>
            <w:vAlign w:val="center"/>
            <w:tcMar>
              <w:top w:w="90" w:type="dxa"/>
              <w:bottom w:w="90" w:type="dxa"/>
              <w:left w:w="90" w:type="dxa"/>
              <w:right w:w="90" w:type="dxa"/>
            </w:tcMar>
            <w:shd w:fill="FFFFFF"/>
          </w:tcPr>
          <w:p>
            <w:pPr>
              <w:spacing w:after="60" w:line="252" w:lineRule="auto"/>
            </w:pPr>
            <w:r>
              <w:rPr>
                <w:b w:val="0"/>
                <w:color w:val="000000"/>
                <w:sz w:val="18"/>
              </w:rPr>
              <w:t>Medium</w:t>
            </w:r>
          </w:p>
        </w:tc>
        <w:tc>
          <w:tcPr>
            <w:tcW w:type="dxa" w:w="5328"/>
            <w:vAlign w:val="center"/>
            <w:tcMar>
              <w:top w:w="90" w:type="dxa"/>
              <w:bottom w:w="90" w:type="dxa"/>
              <w:left w:w="90" w:type="dxa"/>
              <w:right w:w="90" w:type="dxa"/>
            </w:tcMar>
            <w:shd w:fill="FFFFFF"/>
          </w:tcPr>
          <w:p>
            <w:pPr>
              <w:spacing w:after="60" w:line="252" w:lineRule="auto"/>
            </w:pPr>
            <w:r>
              <w:rPr>
                <w:b w:val="0"/>
                <w:color w:val="000000"/>
                <w:sz w:val="18"/>
              </w:rPr>
              <w:t>Retention and erasure do not cover the data lifecycle</w:t>
            </w:r>
          </w:p>
        </w:tc>
        <w:tc>
          <w:tcPr>
            <w:tcW w:type="dxa" w:w="2160"/>
            <w:vAlign w:val="center"/>
            <w:tcMar>
              <w:top w:w="90" w:type="dxa"/>
              <w:bottom w:w="90" w:type="dxa"/>
              <w:left w:w="90" w:type="dxa"/>
              <w:right w:w="90" w:type="dxa"/>
            </w:tcMar>
            <w:shd w:fill="FFFFFF"/>
          </w:tcPr>
          <w:p>
            <w:pPr>
              <w:spacing w:after="60" w:line="252" w:lineRule="auto"/>
            </w:pPr>
            <w:r>
              <w:rPr>
                <w:b w:val="0"/>
                <w:color w:val="000000"/>
                <w:sz w:val="18"/>
              </w:rPr>
              <w:t>Code finding</w:t>
            </w:r>
          </w:p>
        </w:tc>
      </w:tr>
      <w:tr>
        <w:trPr>
          <w:cantSplit/>
        </w:trPr>
        <w:tc>
          <w:tcPr>
            <w:tcW w:type="dxa" w:w="648"/>
            <w:vAlign w:val="center"/>
            <w:tcMar>
              <w:top w:w="90" w:type="dxa"/>
              <w:bottom w:w="90" w:type="dxa"/>
              <w:left w:w="90" w:type="dxa"/>
              <w:right w:w="90" w:type="dxa"/>
            </w:tcMar>
            <w:shd w:fill="F2F5F8"/>
          </w:tcPr>
          <w:p>
            <w:pPr>
              <w:spacing w:after="60" w:line="252" w:lineRule="auto"/>
            </w:pPr>
            <w:r>
              <w:rPr>
                <w:b w:val="0"/>
                <w:color w:val="000000"/>
                <w:sz w:val="18"/>
              </w:rPr>
              <w:t>F07</w:t>
            </w:r>
          </w:p>
        </w:tc>
        <w:tc>
          <w:tcPr>
            <w:tcW w:type="dxa" w:w="1656"/>
            <w:vAlign w:val="center"/>
            <w:tcMar>
              <w:top w:w="90" w:type="dxa"/>
              <w:bottom w:w="90" w:type="dxa"/>
              <w:left w:w="90" w:type="dxa"/>
              <w:right w:w="90" w:type="dxa"/>
            </w:tcMar>
            <w:shd w:fill="F2F5F8"/>
          </w:tcPr>
          <w:p>
            <w:pPr>
              <w:spacing w:after="60" w:line="252" w:lineRule="auto"/>
            </w:pPr>
            <w:r>
              <w:rPr>
                <w:b w:val="0"/>
                <w:color w:val="000000"/>
                <w:sz w:val="18"/>
              </w:rPr>
              <w:t>Medium</w:t>
            </w:r>
          </w:p>
        </w:tc>
        <w:tc>
          <w:tcPr>
            <w:tcW w:type="dxa" w:w="5328"/>
            <w:vAlign w:val="center"/>
            <w:tcMar>
              <w:top w:w="90" w:type="dxa"/>
              <w:bottom w:w="90" w:type="dxa"/>
              <w:left w:w="90" w:type="dxa"/>
              <w:right w:w="90" w:type="dxa"/>
            </w:tcMar>
            <w:shd w:fill="F2F5F8"/>
          </w:tcPr>
          <w:p>
            <w:pPr>
              <w:spacing w:after="60" w:line="252" w:lineRule="auto"/>
            </w:pPr>
            <w:r>
              <w:rPr>
                <w:b w:val="0"/>
                <w:color w:val="000000"/>
                <w:sz w:val="18"/>
              </w:rPr>
              <w:t>Audit logs lack independent preservation and monitoring</w:t>
            </w:r>
          </w:p>
        </w:tc>
        <w:tc>
          <w:tcPr>
            <w:tcW w:type="dxa" w:w="2160"/>
            <w:vAlign w:val="center"/>
            <w:tcMar>
              <w:top w:w="90" w:type="dxa"/>
              <w:bottom w:w="90" w:type="dxa"/>
              <w:left w:w="90" w:type="dxa"/>
              <w:right w:w="90" w:type="dxa"/>
            </w:tcMar>
            <w:shd w:fill="F2F5F8"/>
          </w:tcPr>
          <w:p>
            <w:pPr>
              <w:spacing w:after="60" w:line="252" w:lineRule="auto"/>
            </w:pPr>
            <w:r>
              <w:rPr>
                <w:b w:val="0"/>
                <w:color w:val="000000"/>
                <w:sz w:val="18"/>
              </w:rPr>
              <w:t>Deployment gap</w:t>
            </w:r>
          </w:p>
        </w:tc>
      </w:tr>
      <w:tr>
        <w:trPr>
          <w:cantSplit/>
        </w:trPr>
        <w:tc>
          <w:tcPr>
            <w:tcW w:type="dxa" w:w="648"/>
            <w:vAlign w:val="center"/>
            <w:tcMar>
              <w:top w:w="90" w:type="dxa"/>
              <w:bottom w:w="90" w:type="dxa"/>
              <w:left w:w="90" w:type="dxa"/>
              <w:right w:w="90" w:type="dxa"/>
            </w:tcMar>
            <w:shd w:fill="FFFFFF"/>
          </w:tcPr>
          <w:p>
            <w:pPr>
              <w:spacing w:after="60" w:line="252" w:lineRule="auto"/>
            </w:pPr>
            <w:r>
              <w:rPr>
                <w:b w:val="0"/>
                <w:color w:val="000000"/>
                <w:sz w:val="18"/>
              </w:rPr>
              <w:t>F08</w:t>
            </w:r>
          </w:p>
        </w:tc>
        <w:tc>
          <w:tcPr>
            <w:tcW w:type="dxa" w:w="1656"/>
            <w:vAlign w:val="center"/>
            <w:tcMar>
              <w:top w:w="90" w:type="dxa"/>
              <w:bottom w:w="90" w:type="dxa"/>
              <w:left w:w="90" w:type="dxa"/>
              <w:right w:w="90" w:type="dxa"/>
            </w:tcMar>
            <w:shd w:fill="FFFFFF"/>
          </w:tcPr>
          <w:p>
            <w:pPr>
              <w:spacing w:after="60" w:line="252" w:lineRule="auto"/>
            </w:pPr>
            <w:r>
              <w:rPr>
                <w:b w:val="0"/>
                <w:color w:val="000000"/>
                <w:sz w:val="18"/>
              </w:rPr>
              <w:t>Medium</w:t>
            </w:r>
          </w:p>
        </w:tc>
        <w:tc>
          <w:tcPr>
            <w:tcW w:type="dxa" w:w="5328"/>
            <w:vAlign w:val="center"/>
            <w:tcMar>
              <w:top w:w="90" w:type="dxa"/>
              <w:bottom w:w="90" w:type="dxa"/>
              <w:left w:w="90" w:type="dxa"/>
              <w:right w:w="90" w:type="dxa"/>
            </w:tcMar>
            <w:shd w:fill="FFFFFF"/>
          </w:tcPr>
          <w:p>
            <w:pPr>
              <w:spacing w:after="60" w:line="252" w:lineRule="auto"/>
            </w:pPr>
            <w:r>
              <w:rPr>
                <w:b w:val="0"/>
                <w:color w:val="000000"/>
                <w:sz w:val="18"/>
              </w:rPr>
              <w:t>Build dependencies and image versions are not fully fixed</w:t>
            </w:r>
          </w:p>
        </w:tc>
        <w:tc>
          <w:tcPr>
            <w:tcW w:type="dxa" w:w="2160"/>
            <w:vAlign w:val="center"/>
            <w:tcMar>
              <w:top w:w="90" w:type="dxa"/>
              <w:bottom w:w="90" w:type="dxa"/>
              <w:left w:w="90" w:type="dxa"/>
              <w:right w:w="90" w:type="dxa"/>
            </w:tcMar>
            <w:shd w:fill="FFFFFF"/>
          </w:tcPr>
          <w:p>
            <w:pPr>
              <w:spacing w:after="60" w:line="252" w:lineRule="auto"/>
            </w:pPr>
            <w:r>
              <w:rPr>
                <w:b w:val="0"/>
                <w:color w:val="000000"/>
                <w:sz w:val="18"/>
              </w:rPr>
              <w:t>Code finding</w:t>
            </w:r>
          </w:p>
        </w:tc>
      </w:tr>
      <w:tr>
        <w:trPr>
          <w:cantSplit/>
        </w:trPr>
        <w:tc>
          <w:tcPr>
            <w:tcW w:type="dxa" w:w="648"/>
            <w:vAlign w:val="center"/>
            <w:tcMar>
              <w:top w:w="90" w:type="dxa"/>
              <w:bottom w:w="90" w:type="dxa"/>
              <w:left w:w="90" w:type="dxa"/>
              <w:right w:w="90" w:type="dxa"/>
            </w:tcMar>
            <w:shd w:fill="F2F5F8"/>
          </w:tcPr>
          <w:p>
            <w:pPr>
              <w:spacing w:after="60" w:line="252" w:lineRule="auto"/>
            </w:pPr>
            <w:r>
              <w:rPr>
                <w:b w:val="0"/>
                <w:color w:val="000000"/>
                <w:sz w:val="18"/>
              </w:rPr>
              <w:t>F09</w:t>
            </w:r>
          </w:p>
        </w:tc>
        <w:tc>
          <w:tcPr>
            <w:tcW w:type="dxa" w:w="1656"/>
            <w:vAlign w:val="center"/>
            <w:tcMar>
              <w:top w:w="90" w:type="dxa"/>
              <w:bottom w:w="90" w:type="dxa"/>
              <w:left w:w="90" w:type="dxa"/>
              <w:right w:w="90" w:type="dxa"/>
            </w:tcMar>
            <w:shd w:fill="F2F5F8"/>
          </w:tcPr>
          <w:p>
            <w:pPr>
              <w:spacing w:after="60" w:line="252" w:lineRule="auto"/>
            </w:pPr>
            <w:r>
              <w:rPr>
                <w:b w:val="0"/>
                <w:color w:val="000000"/>
                <w:sz w:val="18"/>
              </w:rPr>
              <w:t>Medium</w:t>
            </w:r>
          </w:p>
        </w:tc>
        <w:tc>
          <w:tcPr>
            <w:tcW w:type="dxa" w:w="5328"/>
            <w:vAlign w:val="center"/>
            <w:tcMar>
              <w:top w:w="90" w:type="dxa"/>
              <w:bottom w:w="90" w:type="dxa"/>
              <w:left w:w="90" w:type="dxa"/>
              <w:right w:w="90" w:type="dxa"/>
            </w:tcMar>
            <w:shd w:fill="F2F5F8"/>
          </w:tcPr>
          <w:p>
            <w:pPr>
              <w:spacing w:after="60" w:line="252" w:lineRule="auto"/>
            </w:pPr>
            <w:r>
              <w:rPr>
                <w:b w:val="0"/>
                <w:color w:val="000000"/>
                <w:sz w:val="18"/>
              </w:rPr>
              <w:t>Security status can claim SSO is connected when unimplemented</w:t>
            </w:r>
          </w:p>
        </w:tc>
        <w:tc>
          <w:tcPr>
            <w:tcW w:type="dxa" w:w="2160"/>
            <w:vAlign w:val="center"/>
            <w:tcMar>
              <w:top w:w="90" w:type="dxa"/>
              <w:bottom w:w="90" w:type="dxa"/>
              <w:left w:w="90" w:type="dxa"/>
              <w:right w:w="90" w:type="dxa"/>
            </w:tcMar>
            <w:shd w:fill="F2F5F8"/>
          </w:tcPr>
          <w:p>
            <w:pPr>
              <w:spacing w:after="60" w:line="252" w:lineRule="auto"/>
            </w:pPr>
            <w:r>
              <w:rPr>
                <w:b w:val="0"/>
                <w:color w:val="000000"/>
                <w:sz w:val="18"/>
              </w:rPr>
              <w:t>Code finding</w:t>
            </w:r>
          </w:p>
        </w:tc>
      </w:tr>
    </w:tbl>
    <w:p>
      <w:pPr>
        <w:spacing w:after="0"/>
      </w:pPr>
    </w:p>
    <w:p>
      <w:pPr>
        <w:pStyle w:val="Heading1"/>
      </w:pPr>
      <w:r>
        <w:t>Controls already present</w:t>
      </w:r>
    </w:p>
    <w:p>
      <w:r>
        <w:t>The implementation includes role and organisation checks, scrypt password hashing, session expiration and revocation, login throttling, meter-data consent, spreadsheet formula neutralisation, security headers and a hash-chained audit log. The container runs as a non-root user and the Compose port binds to localhost.</w:t>
      </w:r>
    </w:p>
    <w:p>
      <w:r>
        <w:t>Existing tests provide useful regression evidence. They did not detect F01, so a passing suite cannot establish effective MFA or framework conformity.</w:t>
      </w:r>
    </w:p>
    <w:p>
      <w:r>
        <w:br w:type="page"/>
      </w:r>
    </w:p>
    <w:p>
      <w:pPr>
        <w:pStyle w:val="Heading1"/>
      </w:pPr>
      <w:r>
        <w:t>Authentication and tenant isolation</w:t>
      </w:r>
    </w:p>
    <w:p>
      <w:pPr>
        <w:pStyle w:val="Heading2"/>
      </w:pPr>
      <w:r>
        <w:t>F01 Existing MFA can be replaced using a password</w:t>
      </w:r>
    </w:p>
    <w:p>
      <w:r>
        <w:t>Evidence: engine/programme/auth.py, mfa_setup at line 366; engine/api/programme.py, MFA routes at lines 119 and 125. A password-stage ticket identifies the user, and setup overwrites the existing MFA secret without requiring the enrolled second factor.</w:t>
      </w:r>
    </w:p>
    <w:p>
      <w:r>
        <w:t>Reproduction: create a staff account and enrol TOTP; sign in again with its password; submit the resulting ticket to MFA setup; verify a code generated with the replacement secret. Setup returned HTTP 200 and verification issued a session. This worked with METERWISE_DEMO=0 in a temporary database.</w:t>
      </w:r>
    </w:p>
    <w:p>
      <w:r>
        <w:t>Impact: possession of a staff password is sufficient to defeat the second factor, including for privileged roles. The security dashboard can still report MFA as enforced.</w:t>
      </w:r>
    </w:p>
    <w:p>
      <w:r>
        <w:t>Recommended fix: distinguish initial enrolment from replacement. Deny password-only setup when an authenticator is enrolled. Require the existing second factor or a controlled recovery process; make challenges single-use and purpose-bound; limit attempts; revoke affected sessions and notify the account holder after a factor change.</w:t>
      </w:r>
    </w:p>
    <w:p>
      <w:r>
        <w:t>Acceptance checks: password-only replacement is rejected; initial enrolment still works; recovery requires approved evidence; expired and replayed challenges fail; invalid verification attempts are limited; a successful change revokes previous sessions and creates an audit event.</w:t>
      </w:r>
    </w:p>
    <w:p>
      <w:pPr>
        <w:pStyle w:val="Heading2"/>
      </w:pPr>
      <w:r>
        <w:t>F02 Tenant access includes previous occupancy history</w:t>
      </w:r>
    </w:p>
    <w:p>
      <w:r>
        <w:t>Evidence: engine/programme/views.py, personal_data at line 236, limits tenancy and ledger records but returns readings and faults for the whole flat. engine/programme/ledger.py, readings_of at line 458, filters by flat only. Fault records include free-text descriptions and resolution notes.</w:t>
      </w:r>
    </w:p>
    <w:p>
      <w:r>
        <w:t>Impact: a new tenant can receive meter readings and fault content associated with earlier occupancy. The review did not reproduce a complete tenancy-change exploit; this finding is based on the queries and response construction.</w:t>
      </w:r>
    </w:p>
    <w:p>
      <w:r>
        <w:t>Recommended fix: associate sensitive records with a tenancy or enforce authorised tenancy periods consistently across exports, readings, faults and documents. Decide explicitly which shared equipment history may be disclosed, and remove prior occupant personal information from it.</w:t>
      </w:r>
    </w:p>
    <w:p>
      <w:r>
        <w:t>Acceptance checks: with two successive tenancies on one flat, each tenant receives only authorised records; exports and direct reading routes enforce the same rule; owners and managers retain their intended access; shared equipment summaries contain no prior tenant personal content.</w:t>
      </w:r>
    </w:p>
    <w:p>
      <w:r>
        <w:br w:type="page"/>
      </w:r>
    </w:p>
    <w:p>
      <w:pPr>
        <w:pStyle w:val="Heading1"/>
      </w:pPr>
      <w:r>
        <w:t>Deployment and credential protection</w:t>
      </w:r>
    </w:p>
    <w:p>
      <w:pPr>
        <w:pStyle w:val="Heading2"/>
      </w:pPr>
      <w:r>
        <w:t>F03 Production operation retains demo assumptions</w:t>
      </w:r>
    </w:p>
    <w:p>
      <w:r>
        <w:t>Evidence: compose.yaml enables METERWISE_DEMO=1 and publishes HTTP on 127.0.0.1:8000. engine/api/programme.py startup seeds a fresh database unless METERWISE_AUTOSEED=0. Staff demo MFA exemptions and example credentials are intentional local-demo behaviour.</w:t>
      </w:r>
    </w:p>
    <w:p>
      <w:r>
        <w:t>Recommended fix: provide a separate production profile with demo and auto-seeding disabled, HTTPS at a managed ingress, controlled account provisioning, restricted network access and a managed signing secret. Use a fresh production database or an explicit migration that removes example identities. Switching demo mode off does not delete existing accounts.</w:t>
      </w:r>
    </w:p>
    <w:p>
      <w:r>
        <w:t>Acceptance checks: production rejects missing secrets; demo and reset routes cannot be used; example identities are absent; insecure external traffic is redirected or rejected; sensitive responses retain no-store headers. HSTS must be accompanied by working HTTPS.</w:t>
      </w:r>
    </w:p>
    <w:p>
      <w:pPr>
        <w:pStyle w:val="Heading2"/>
      </w:pPr>
      <w:r>
        <w:t>F04 Credential secrets lack separate protection</w:t>
      </w:r>
    </w:p>
    <w:p>
      <w:r>
        <w:t>Evidence: engine/programme/db.py defines plaintext secret and access-code columns. Authentication looks up tenant codes directly and retrieves TOTP secrets from SQLite. The Docker configuration does not establish encryption for the host volume; host disk encryption was not examined.</w:t>
      </w:r>
    </w:p>
    <w:p>
      <w:r>
        <w:t>Recommended fix: encrypt TOTP secrets with keys held separately from the database and restrict key use. Protect tenant codes with a suitable credential design, such as high-entropy expiring invitations and hashed verification values. If codes must be reissued, generate replacements rather than recover stored credentials. Encrypt storage and backups and document key rotation and recovery.</w:t>
      </w:r>
    </w:p>
    <w:p>
      <w:r>
        <w:t>Acceptance checks: a database copy alone cannot reveal TOTP secrets or recover usable tenant credentials; expired and revoked codes fail; authorised access survives documented key rotation; secret values are absent from logs and exports.</w:t>
      </w:r>
    </w:p>
    <w:p>
      <w:pPr>
        <w:pStyle w:val="Heading2"/>
      </w:pPr>
      <w:r>
        <w:t>F05 Persistent storage has no demonstrated recovery</w:t>
      </w:r>
    </w:p>
    <w:p>
      <w:r>
        <w:t>Evidence: the named Docker volume preserves the SQLite database across container rebuilds. No backup schedule, isolated backup copy or restore test is configured in the repository.</w:t>
      </w:r>
    </w:p>
    <w:p>
      <w:r>
        <w:t>Recommended fix: set recovery point and recovery time objectives; create database-consistent encrypted backups using an SQLite-supported method; isolate backup access from the application; retain protected recovery copies; test restoration in a separate environment.</w:t>
      </w:r>
    </w:p>
    <w:p>
      <w:r>
        <w:t>Acceptance checks: restore projects, ledgers, consent and audit records from a backup; measure recovery time and data loss; verify the audit chain; demonstrate that application compromise cannot delete every recovery copy.</w:t>
      </w:r>
    </w:p>
    <w:p>
      <w:r>
        <w:br w:type="page"/>
      </w:r>
    </w:p>
    <w:p>
      <w:pPr>
        <w:pStyle w:val="Heading1"/>
      </w:pPr>
      <w:r>
        <w:t>Data lifecycle and operational assurance</w:t>
      </w:r>
    </w:p>
    <w:p>
      <w:pPr>
        <w:pStyle w:val="Heading2"/>
      </w:pPr>
      <w:r>
        <w:t>F06 Retention and erasure are incomplete</w:t>
      </w:r>
    </w:p>
    <w:p>
      <w:r>
        <w:t>Evidence: engine/programme/views.py, erase at line 262, replaces tenant names and clears some former access codes. Related free-text records, consent history, retained exports and backups are not covered by this action. The retention_years setting is not an automatic disposal process.</w:t>
      </w:r>
    </w:p>
    <w:p>
      <w:r>
        <w:t>Recommended fix: define retention by record type, purpose and applicable obligations. Preserve justified financial records while removing unnecessary personal information. Implement disposal and review exception handling, free-text fields, exported copies and backup expiry.</w:t>
      </w:r>
    </w:p>
    <w:p>
      <w:r>
        <w:t>Acceptance checks: an expired record is disposed of according to policy; legal holds prevent inappropriate deletion; a personal-data request covers all relevant stores; evidence records what was removed and retained without copying sensitive content.</w:t>
      </w:r>
    </w:p>
    <w:p>
      <w:pPr>
        <w:pStyle w:val="Heading2"/>
      </w:pPr>
      <w:r>
        <w:t>F07 Audit integrity and detection need independent controls</w:t>
      </w:r>
    </w:p>
    <w:p>
      <w:r>
        <w:t>Evidence: engine/programme/audit.py uses unkeyed hashes and SQLite triggers to detect some edits. A database administrator can remove triggers and rewrite a chain; removal of an unanchored tail also needs an external reference to detect reliably. Central monitoring and alerts are not configured.</w:t>
      </w:r>
    </w:p>
    <w:p>
      <w:r>
        <w:t>Recommended fix: preserve audit events and trusted checkpoints outside the application database, with independent access control and retention. Monitor sign-in failures, MFA changes, privileged actions, unusual exports and integrity failures. Rehearse incident response and record the results.</w:t>
      </w:r>
    </w:p>
    <w:p>
      <w:r>
        <w:t>Acceptance checks: external evidence detects modification or truncation; log administrators and application administrators have separated access; a test alert reaches an accountable responder; logs omit credentials and unnecessary personal information.</w:t>
      </w:r>
    </w:p>
    <w:p>
      <w:pPr>
        <w:pStyle w:val="Heading2"/>
      </w:pPr>
      <w:r>
        <w:t>F08 Builds do not substantiate dependency pinning</w:t>
      </w:r>
    </w:p>
    <w:p>
      <w:r>
        <w:t>Evidence: Dockerfile installs requirements.txt, whose Python versions are not fixed, rather than the existing requirements.lock. Node uses npm ci with its lock file, but base-image tags remain mutable. Previous audit results do not prove current image vulnerability status.</w:t>
      </w:r>
    </w:p>
    <w:p>
      <w:r>
        <w:t>Recommended fix: validate a runtime-specific dependency lock and fix versions or hashes; record base-image digests; generate an SBOM from the built image; scan dependencies and OS packages; establish patch deadlines and rebuild evidence.</w:t>
      </w:r>
    </w:p>
    <w:p>
      <w:r>
        <w:t>Acceptance checks: a controlled rebuild uses the approved dependency set; the SBOM matches the image; current scans are retained; exceptions have owners and expiry dates.</w:t>
      </w:r>
    </w:p>
    <w:p>
      <w:pPr>
        <w:pStyle w:val="Heading2"/>
      </w:pPr>
      <w:r>
        <w:t>F09 Security status overstates SSO readiness</w:t>
      </w:r>
    </w:p>
    <w:p>
      <w:r>
        <w:t>Evidence: engine/programme/views.py, controls at line 851, reports SSO connected based on environment variables. engine/api/programme.py, oidc_login at line 161, returns a not-implemented response even when settings exist.</w:t>
      </w:r>
    </w:p>
    <w:p>
      <w:r>
        <w:t>Recommended fix: distinguish configured, implemented, tested and operational states. Return SSO unavailable until a complete identity-provider exchange is verified. Apply the same evidence-based status approach to MFA and supply-chain claims.</w:t>
      </w:r>
    </w:p>
    <w:p>
      <w:r>
        <w:t>Acceptance checks: adding OIDC settings alone does not mark SSO operational; status matches a tested sign-in path and actual build configuration.</w:t>
      </w:r>
    </w:p>
    <w:p>
      <w:r>
        <w:br w:type="page"/>
      </w:r>
    </w:p>
    <w:p>
      <w:pPr>
        <w:pStyle w:val="Heading1"/>
      </w:pPr>
      <w:r>
        <w:t>Framework readiness mapping</w:t>
      </w:r>
    </w:p>
    <w:p>
      <w:r>
        <w:t>The mapping below groups findings by control purpose. It is not a clause-by-clause conformity assessment or a Statement of Applicability. Formal scoping and risk treatment determine the applicable requirements.</w:t>
      </w:r>
    </w:p>
    <w:p>
      <w:pPr>
        <w:pStyle w:val="Heading2"/>
      </w:pPr>
      <w:r>
        <w:t>ISO 27001</w:t>
      </w:r>
    </w:p>
    <w:p>
      <w:r>
        <w:t>ISO/IEC 27001:2022 addresses an organisational information security management system. The repository provides some technical evidence but does not establish a defined scope, risk treatment, Statement of Applicability, approved responsibilities, internal audit, management review or continual improvement evidence. Certification requires an appropriate independent certification process [1].</w:t>
      </w:r>
    </w:p>
    <w:p>
      <w:r>
        <w:t>Relevant treatment areas: access and identity management (F01-F04); information lifecycle and cryptography (F04, F06); backup and continuity (F05); logging and monitoring (F07); secure development and vulnerability management (F08); accurate assurance evidence (F09).</w:t>
      </w:r>
    </w:p>
    <w:p>
      <w:pPr>
        <w:pStyle w:val="Heading2"/>
      </w:pPr>
      <w:r>
        <w:t>SOC 2</w:t>
      </w:r>
    </w:p>
    <w:p>
      <w:r>
        <w:t>SOC 2 is an independent CPA examination of controls against the selected Trust Services Criteria. Security evidence is central; availability, processing integrity, confidentiality and privacy coverage must reflect the service commitments and agreed scope. A Type 1 report addresses a point in time; Type 2 also addresses operating effectiveness over a period [2, 3].</w:t>
      </w:r>
    </w:p>
    <w:p>
      <w:r>
        <w:t>Relevant treatment areas: logical access and system protection (F01-F04); change and vulnerability management (F08); monitoring and incident response (F07); availability and recovery (F05); confidentiality and privacy (F02, F04, F06); truthful system descriptions (F09). Billing and measurement tests support processing-integrity evidence, but do not replace operational reconciliations and exception handling.</w:t>
      </w:r>
    </w:p>
    <w:p>
      <w:pPr>
        <w:pStyle w:val="Heading2"/>
      </w:pPr>
      <w:r>
        <w:t>IRAP and the ISM</w:t>
      </w:r>
    </w:p>
    <w:p>
      <w:r>
        <w:t>IRAP provides independent assessments against applicable Australian Government security requirements. Assessors do not certify or accredit systems on behalf of ASD, and completion does not establish universal compliance. Review the assessment boundary and residual risks; an assessed cloud provider does not automatically cover Meterwise [4].</w:t>
      </w:r>
    </w:p>
    <w:p>
      <w:r>
        <w:t>The current official ISM release checked for this review is September 2026 [5]. Preparation needs data classification, system boundaries, applicable-control mapping, cloud shared responsibilities, a system security plan, incident response, change management, continuous monitoring, and a remediation plan [6]. No specific classification such as PROTECTED has been assumed.</w:t>
      </w:r>
    </w:p>
    <w:p>
      <w:pPr>
        <w:pStyle w:val="Heading2"/>
      </w:pPr>
      <w:r>
        <w:t>Evidence needed beyond application code</w:t>
      </w:r>
    </w:p>
    <w:p>
      <w:r>
        <w:t>For all three assurance approaches, obtain hosting and support-location evidence, supplier agreements, access reviews, staff training records, approved risk decisions, change approvals, backup exercises and incident exercises. Assign accountable owners before collecting recurring evidence.</w:t>
      </w:r>
    </w:p>
    <w:p>
      <w:r>
        <w:br w:type="page"/>
      </w:r>
    </w:p>
    <w:p>
      <w:pPr>
        <w:pStyle w:val="Heading1"/>
      </w:pPr>
      <w:r>
        <w:t>Essential Eight readiness</w:t>
      </w:r>
    </w:p>
    <w:p>
      <w:r>
        <w:t>ASD describes the Essential Eight as mitigation strategies for internet-connected organisational IT networks. This review cannot substantiate a maturity level because it does not assess the complete environment. Controls on developer and administrator endpoints, hosting and identity infrastructure remain relevant. Applicability or compensating controls must be justified rather than inferred from the use of Docker [7,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664"/>
        <w:gridCol w:w="4968"/>
      </w:tblGrid>
      <w:tr>
        <w:trPr>
          <w:cantSplit/>
          <w:tblHeader/>
        </w:trPr>
        <w:tc>
          <w:tcPr>
            <w:tcW w:type="dxa" w:w="2160"/>
            <w:vAlign w:val="center"/>
            <w:tcMar>
              <w:top w:w="90" w:type="dxa"/>
              <w:bottom w:w="90" w:type="dxa"/>
              <w:left w:w="90" w:type="dxa"/>
              <w:right w:w="90" w:type="dxa"/>
            </w:tcMar>
            <w:shd w:fill="17365D"/>
          </w:tcPr>
          <w:p>
            <w:pPr>
              <w:spacing w:after="60" w:line="252" w:lineRule="auto"/>
            </w:pPr>
            <w:r>
              <w:rPr>
                <w:b/>
                <w:color w:val="FFFFFF"/>
                <w:sz w:val="18"/>
              </w:rPr>
              <w:t>Strategy</w:t>
            </w:r>
          </w:p>
        </w:tc>
        <w:tc>
          <w:tcPr>
            <w:tcW w:type="dxa" w:w="2664"/>
            <w:vAlign w:val="center"/>
            <w:tcMar>
              <w:top w:w="90" w:type="dxa"/>
              <w:bottom w:w="90" w:type="dxa"/>
              <w:left w:w="90" w:type="dxa"/>
              <w:right w:w="90" w:type="dxa"/>
            </w:tcMar>
            <w:shd w:fill="17365D"/>
          </w:tcPr>
          <w:p>
            <w:pPr>
              <w:spacing w:after="60" w:line="252" w:lineRule="auto"/>
            </w:pPr>
            <w:r>
              <w:rPr>
                <w:b/>
                <w:color w:val="FFFFFF"/>
                <w:sz w:val="18"/>
              </w:rPr>
              <w:t>Evidence reviewed</w:t>
            </w:r>
          </w:p>
        </w:tc>
        <w:tc>
          <w:tcPr>
            <w:tcW w:type="dxa" w:w="4968"/>
            <w:vAlign w:val="center"/>
            <w:tcMar>
              <w:top w:w="90" w:type="dxa"/>
              <w:bottom w:w="90" w:type="dxa"/>
              <w:left w:w="90" w:type="dxa"/>
              <w:right w:w="90" w:type="dxa"/>
            </w:tcMar>
            <w:shd w:fill="17365D"/>
          </w:tcPr>
          <w:p>
            <w:pPr>
              <w:spacing w:after="60" w:line="252" w:lineRule="auto"/>
            </w:pPr>
            <w:r>
              <w:rPr>
                <w:b/>
                <w:color w:val="FFFFFF"/>
                <w:sz w:val="18"/>
              </w:rPr>
              <w:t>Gap or required evidence</w:t>
            </w:r>
          </w:p>
        </w:tc>
      </w:tr>
      <w:tr>
        <w:trPr>
          <w:cantSplit/>
        </w:trPr>
        <w:tc>
          <w:tcPr>
            <w:tcW w:type="dxa" w:w="2160"/>
            <w:vAlign w:val="center"/>
            <w:tcMar>
              <w:top w:w="90" w:type="dxa"/>
              <w:bottom w:w="90" w:type="dxa"/>
              <w:left w:w="90" w:type="dxa"/>
              <w:right w:w="90" w:type="dxa"/>
            </w:tcMar>
            <w:shd w:fill="F2F5F8"/>
          </w:tcPr>
          <w:p>
            <w:pPr>
              <w:spacing w:after="60" w:line="252" w:lineRule="auto"/>
            </w:pPr>
            <w:r>
              <w:rPr>
                <w:b w:val="0"/>
                <w:color w:val="000000"/>
                <w:sz w:val="18"/>
              </w:rPr>
              <w:t>Application control</w:t>
            </w:r>
          </w:p>
        </w:tc>
        <w:tc>
          <w:tcPr>
            <w:tcW w:type="dxa" w:w="2664"/>
            <w:vAlign w:val="center"/>
            <w:tcMar>
              <w:top w:w="90" w:type="dxa"/>
              <w:bottom w:w="90" w:type="dxa"/>
              <w:left w:w="90" w:type="dxa"/>
              <w:right w:w="90" w:type="dxa"/>
            </w:tcMar>
            <w:shd w:fill="F2F5F8"/>
          </w:tcPr>
          <w:p>
            <w:pPr>
              <w:spacing w:after="60" w:line="252" w:lineRule="auto"/>
            </w:pPr>
            <w:r>
              <w:rPr>
                <w:b w:val="0"/>
                <w:color w:val="000000"/>
                <w:sz w:val="18"/>
              </w:rPr>
              <w:t>No allowlisting evidence</w:t>
            </w:r>
          </w:p>
        </w:tc>
        <w:tc>
          <w:tcPr>
            <w:tcW w:type="dxa" w:w="4968"/>
            <w:vAlign w:val="center"/>
            <w:tcMar>
              <w:top w:w="90" w:type="dxa"/>
              <w:bottom w:w="90" w:type="dxa"/>
              <w:left w:w="90" w:type="dxa"/>
              <w:right w:w="90" w:type="dxa"/>
            </w:tcMar>
            <w:shd w:fill="F2F5F8"/>
          </w:tcPr>
          <w:p>
            <w:pPr>
              <w:spacing w:after="60" w:line="252" w:lineRule="auto"/>
            </w:pPr>
            <w:r>
              <w:rPr>
                <w:b w:val="0"/>
                <w:color w:val="000000"/>
                <w:sz w:val="18"/>
              </w:rPr>
              <w:t>Assess approved executable enforcement on servers and administrator endpoints.</w:t>
            </w:r>
          </w:p>
        </w:tc>
      </w:tr>
      <w:tr>
        <w:trPr>
          <w:cantSplit/>
        </w:trPr>
        <w:tc>
          <w:tcPr>
            <w:tcW w:type="dxa" w:w="2160"/>
            <w:vAlign w:val="center"/>
            <w:tcMar>
              <w:top w:w="90" w:type="dxa"/>
              <w:bottom w:w="90" w:type="dxa"/>
              <w:left w:w="90" w:type="dxa"/>
              <w:right w:w="90" w:type="dxa"/>
            </w:tcMar>
            <w:shd w:fill="FFFFFF"/>
          </w:tcPr>
          <w:p>
            <w:pPr>
              <w:spacing w:after="60" w:line="252" w:lineRule="auto"/>
            </w:pPr>
            <w:r>
              <w:rPr>
                <w:b w:val="0"/>
                <w:color w:val="000000"/>
                <w:sz w:val="18"/>
              </w:rPr>
              <w:t>Patch applications</w:t>
            </w:r>
          </w:p>
        </w:tc>
        <w:tc>
          <w:tcPr>
            <w:tcW w:type="dxa" w:w="2664"/>
            <w:vAlign w:val="center"/>
            <w:tcMar>
              <w:top w:w="90" w:type="dxa"/>
              <w:bottom w:w="90" w:type="dxa"/>
              <w:left w:w="90" w:type="dxa"/>
              <w:right w:w="90" w:type="dxa"/>
            </w:tcMar>
            <w:shd w:fill="FFFFFF"/>
          </w:tcPr>
          <w:p>
            <w:pPr>
              <w:spacing w:after="60" w:line="252" w:lineRule="auto"/>
            </w:pPr>
            <w:r>
              <w:rPr>
                <w:b w:val="0"/>
                <w:color w:val="000000"/>
                <w:sz w:val="18"/>
              </w:rPr>
              <w:t>Dependency inventories; earlier audits</w:t>
            </w:r>
          </w:p>
        </w:tc>
        <w:tc>
          <w:tcPr>
            <w:tcW w:type="dxa" w:w="4968"/>
            <w:vAlign w:val="center"/>
            <w:tcMar>
              <w:top w:w="90" w:type="dxa"/>
              <w:bottom w:w="90" w:type="dxa"/>
              <w:left w:w="90" w:type="dxa"/>
              <w:right w:w="90" w:type="dxa"/>
            </w:tcMar>
            <w:shd w:fill="FFFFFF"/>
          </w:tcPr>
          <w:p>
            <w:pPr>
              <w:spacing w:after="60" w:line="252" w:lineRule="auto"/>
            </w:pPr>
            <w:r>
              <w:rPr>
                <w:b w:val="0"/>
                <w:color w:val="000000"/>
                <w:sz w:val="18"/>
              </w:rPr>
              <w:t>Recurring scanning, patch deadlines, approved exceptions and deployment records.</w:t>
            </w:r>
          </w:p>
        </w:tc>
      </w:tr>
      <w:tr>
        <w:trPr>
          <w:cantSplit/>
        </w:trPr>
        <w:tc>
          <w:tcPr>
            <w:tcW w:type="dxa" w:w="2160"/>
            <w:vAlign w:val="center"/>
            <w:tcMar>
              <w:top w:w="90" w:type="dxa"/>
              <w:bottom w:w="90" w:type="dxa"/>
              <w:left w:w="90" w:type="dxa"/>
              <w:right w:w="90" w:type="dxa"/>
            </w:tcMar>
            <w:shd w:fill="F2F5F8"/>
          </w:tcPr>
          <w:p>
            <w:pPr>
              <w:spacing w:after="60" w:line="252" w:lineRule="auto"/>
            </w:pPr>
            <w:r>
              <w:rPr>
                <w:b w:val="0"/>
                <w:color w:val="000000"/>
                <w:sz w:val="18"/>
              </w:rPr>
              <w:t>Restrict Office macros</w:t>
            </w:r>
          </w:p>
        </w:tc>
        <w:tc>
          <w:tcPr>
            <w:tcW w:type="dxa" w:w="2664"/>
            <w:vAlign w:val="center"/>
            <w:tcMar>
              <w:top w:w="90" w:type="dxa"/>
              <w:bottom w:w="90" w:type="dxa"/>
              <w:left w:w="90" w:type="dxa"/>
              <w:right w:w="90" w:type="dxa"/>
            </w:tcMar>
            <w:shd w:fill="F2F5F8"/>
          </w:tcPr>
          <w:p>
            <w:pPr>
              <w:spacing w:after="60" w:line="252" w:lineRule="auto"/>
            </w:pPr>
            <w:r>
              <w:rPr>
                <w:b w:val="0"/>
                <w:color w:val="000000"/>
                <w:sz w:val="18"/>
              </w:rPr>
              <w:t>No endpoint evidence</w:t>
            </w:r>
          </w:p>
        </w:tc>
        <w:tc>
          <w:tcPr>
            <w:tcW w:type="dxa" w:w="4968"/>
            <w:vAlign w:val="center"/>
            <w:tcMar>
              <w:top w:w="90" w:type="dxa"/>
              <w:bottom w:w="90" w:type="dxa"/>
              <w:left w:w="90" w:type="dxa"/>
              <w:right w:w="90" w:type="dxa"/>
            </w:tcMar>
            <w:shd w:fill="F2F5F8"/>
          </w:tcPr>
          <w:p>
            <w:pPr>
              <w:spacing w:after="60" w:line="252" w:lineRule="auto"/>
            </w:pPr>
            <w:r>
              <w:rPr>
                <w:b w:val="0"/>
                <w:color w:val="000000"/>
                <w:sz w:val="18"/>
              </w:rPr>
              <w:t>Managed policy and enforcement where Office is in scope.</w:t>
            </w:r>
          </w:p>
        </w:tc>
      </w:tr>
      <w:tr>
        <w:trPr>
          <w:cantSplit/>
        </w:trPr>
        <w:tc>
          <w:tcPr>
            <w:tcW w:type="dxa" w:w="2160"/>
            <w:vAlign w:val="center"/>
            <w:tcMar>
              <w:top w:w="90" w:type="dxa"/>
              <w:bottom w:w="90" w:type="dxa"/>
              <w:left w:w="90" w:type="dxa"/>
              <w:right w:w="90" w:type="dxa"/>
            </w:tcMar>
            <w:shd w:fill="FFFFFF"/>
          </w:tcPr>
          <w:p>
            <w:pPr>
              <w:spacing w:after="60" w:line="252" w:lineRule="auto"/>
            </w:pPr>
            <w:r>
              <w:rPr>
                <w:b w:val="0"/>
                <w:color w:val="000000"/>
                <w:sz w:val="18"/>
              </w:rPr>
              <w:t>User application hardening</w:t>
            </w:r>
          </w:p>
        </w:tc>
        <w:tc>
          <w:tcPr>
            <w:tcW w:type="dxa" w:w="2664"/>
            <w:vAlign w:val="center"/>
            <w:tcMar>
              <w:top w:w="90" w:type="dxa"/>
              <w:bottom w:w="90" w:type="dxa"/>
              <w:left w:w="90" w:type="dxa"/>
              <w:right w:w="90" w:type="dxa"/>
            </w:tcMar>
            <w:shd w:fill="FFFFFF"/>
          </w:tcPr>
          <w:p>
            <w:pPr>
              <w:spacing w:after="60" w:line="252" w:lineRule="auto"/>
            </w:pPr>
            <w:r>
              <w:rPr>
                <w:b w:val="0"/>
                <w:color w:val="000000"/>
                <w:sz w:val="18"/>
              </w:rPr>
              <w:t>Application response headers</w:t>
            </w:r>
          </w:p>
        </w:tc>
        <w:tc>
          <w:tcPr>
            <w:tcW w:type="dxa" w:w="4968"/>
            <w:vAlign w:val="center"/>
            <w:tcMar>
              <w:top w:w="90" w:type="dxa"/>
              <w:bottom w:w="90" w:type="dxa"/>
              <w:left w:w="90" w:type="dxa"/>
              <w:right w:w="90" w:type="dxa"/>
            </w:tcMar>
            <w:shd w:fill="FFFFFF"/>
          </w:tcPr>
          <w:p>
            <w:pPr>
              <w:spacing w:after="60" w:line="252" w:lineRule="auto"/>
            </w:pPr>
            <w:r>
              <w:rPr>
                <w:b w:val="0"/>
                <w:color w:val="000000"/>
                <w:sz w:val="18"/>
              </w:rPr>
              <w:t>Managed browser and endpoint settings; headers alone do not establish the strategy.</w:t>
            </w:r>
          </w:p>
        </w:tc>
      </w:tr>
      <w:tr>
        <w:trPr>
          <w:cantSplit/>
        </w:trPr>
        <w:tc>
          <w:tcPr>
            <w:tcW w:type="dxa" w:w="2160"/>
            <w:vAlign w:val="center"/>
            <w:tcMar>
              <w:top w:w="90" w:type="dxa"/>
              <w:bottom w:w="90" w:type="dxa"/>
              <w:left w:w="90" w:type="dxa"/>
              <w:right w:w="90" w:type="dxa"/>
            </w:tcMar>
            <w:shd w:fill="F2F5F8"/>
          </w:tcPr>
          <w:p>
            <w:pPr>
              <w:spacing w:after="60" w:line="252" w:lineRule="auto"/>
            </w:pPr>
            <w:r>
              <w:rPr>
                <w:b w:val="0"/>
                <w:color w:val="000000"/>
                <w:sz w:val="18"/>
              </w:rPr>
              <w:t>Restrict administrative privileges</w:t>
            </w:r>
          </w:p>
        </w:tc>
        <w:tc>
          <w:tcPr>
            <w:tcW w:type="dxa" w:w="2664"/>
            <w:vAlign w:val="center"/>
            <w:tcMar>
              <w:top w:w="90" w:type="dxa"/>
              <w:bottom w:w="90" w:type="dxa"/>
              <w:left w:w="90" w:type="dxa"/>
              <w:right w:w="90" w:type="dxa"/>
            </w:tcMar>
            <w:shd w:fill="F2F5F8"/>
          </w:tcPr>
          <w:p>
            <w:pPr>
              <w:spacing w:after="60" w:line="252" w:lineRule="auto"/>
            </w:pPr>
            <w:r>
              <w:rPr>
                <w:b w:val="0"/>
                <w:color w:val="000000"/>
                <w:sz w:val="18"/>
              </w:rPr>
              <w:t>Role checks; non-root container</w:t>
            </w:r>
          </w:p>
        </w:tc>
        <w:tc>
          <w:tcPr>
            <w:tcW w:type="dxa" w:w="4968"/>
            <w:vAlign w:val="center"/>
            <w:tcMar>
              <w:top w:w="90" w:type="dxa"/>
              <w:bottom w:w="90" w:type="dxa"/>
              <w:left w:w="90" w:type="dxa"/>
              <w:right w:w="90" w:type="dxa"/>
            </w:tcMar>
            <w:shd w:fill="F2F5F8"/>
          </w:tcPr>
          <w:p>
            <w:pPr>
              <w:spacing w:after="60" w:line="252" w:lineRule="auto"/>
            </w:pPr>
            <w:r>
              <w:rPr>
                <w:b w:val="0"/>
                <w:color w:val="000000"/>
                <w:sz w:val="18"/>
              </w:rPr>
              <w:t>Separate privileged identities, access reviews and controlled support access.</w:t>
            </w:r>
          </w:p>
        </w:tc>
      </w:tr>
      <w:tr>
        <w:trPr>
          <w:cantSplit/>
        </w:trPr>
        <w:tc>
          <w:tcPr>
            <w:tcW w:type="dxa" w:w="2160"/>
            <w:vAlign w:val="center"/>
            <w:tcMar>
              <w:top w:w="90" w:type="dxa"/>
              <w:bottom w:w="90" w:type="dxa"/>
              <w:left w:w="90" w:type="dxa"/>
              <w:right w:w="90" w:type="dxa"/>
            </w:tcMar>
            <w:shd w:fill="FFFFFF"/>
          </w:tcPr>
          <w:p>
            <w:pPr>
              <w:spacing w:after="60" w:line="252" w:lineRule="auto"/>
            </w:pPr>
            <w:r>
              <w:rPr>
                <w:b w:val="0"/>
                <w:color w:val="000000"/>
                <w:sz w:val="18"/>
              </w:rPr>
              <w:t>Patch operating systems</w:t>
            </w:r>
          </w:p>
        </w:tc>
        <w:tc>
          <w:tcPr>
            <w:tcW w:type="dxa" w:w="2664"/>
            <w:vAlign w:val="center"/>
            <w:tcMar>
              <w:top w:w="90" w:type="dxa"/>
              <w:bottom w:w="90" w:type="dxa"/>
              <w:left w:w="90" w:type="dxa"/>
              <w:right w:w="90" w:type="dxa"/>
            </w:tcMar>
            <w:shd w:fill="FFFFFF"/>
          </w:tcPr>
          <w:p>
            <w:pPr>
              <w:spacing w:after="60" w:line="252" w:lineRule="auto"/>
            </w:pPr>
            <w:r>
              <w:rPr>
                <w:b w:val="0"/>
                <w:color w:val="000000"/>
                <w:sz w:val="18"/>
              </w:rPr>
              <w:t>Container base images declared</w:t>
            </w:r>
          </w:p>
        </w:tc>
        <w:tc>
          <w:tcPr>
            <w:tcW w:type="dxa" w:w="4968"/>
            <w:vAlign w:val="center"/>
            <w:tcMar>
              <w:top w:w="90" w:type="dxa"/>
              <w:bottom w:w="90" w:type="dxa"/>
              <w:left w:w="90" w:type="dxa"/>
              <w:right w:w="90" w:type="dxa"/>
            </w:tcMar>
            <w:shd w:fill="FFFFFF"/>
          </w:tcPr>
          <w:p>
            <w:pPr>
              <w:spacing w:after="60" w:line="252" w:lineRule="auto"/>
            </w:pPr>
            <w:r>
              <w:rPr>
                <w:b w:val="0"/>
                <w:color w:val="000000"/>
                <w:sz w:val="18"/>
              </w:rPr>
              <w:t>Host, Docker and container-package patch schedules and installation evidence.</w:t>
            </w:r>
          </w:p>
        </w:tc>
      </w:tr>
      <w:tr>
        <w:trPr>
          <w:cantSplit/>
        </w:trPr>
        <w:tc>
          <w:tcPr>
            <w:tcW w:type="dxa" w:w="2160"/>
            <w:vAlign w:val="center"/>
            <w:tcMar>
              <w:top w:w="90" w:type="dxa"/>
              <w:bottom w:w="90" w:type="dxa"/>
              <w:left w:w="90" w:type="dxa"/>
              <w:right w:w="90" w:type="dxa"/>
            </w:tcMar>
            <w:shd w:fill="F2F5F8"/>
          </w:tcPr>
          <w:p>
            <w:pPr>
              <w:spacing w:after="60" w:line="252" w:lineRule="auto"/>
            </w:pPr>
            <w:r>
              <w:rPr>
                <w:b w:val="0"/>
                <w:color w:val="000000"/>
                <w:sz w:val="18"/>
              </w:rPr>
              <w:t>Multi-factor authentication</w:t>
            </w:r>
          </w:p>
        </w:tc>
        <w:tc>
          <w:tcPr>
            <w:tcW w:type="dxa" w:w="2664"/>
            <w:vAlign w:val="center"/>
            <w:tcMar>
              <w:top w:w="90" w:type="dxa"/>
              <w:bottom w:w="90" w:type="dxa"/>
              <w:left w:w="90" w:type="dxa"/>
              <w:right w:w="90" w:type="dxa"/>
            </w:tcMar>
            <w:shd w:fill="F2F5F8"/>
          </w:tcPr>
          <w:p>
            <w:pPr>
              <w:spacing w:after="60" w:line="252" w:lineRule="auto"/>
            </w:pPr>
            <w:r>
              <w:rPr>
                <w:b w:val="0"/>
                <w:color w:val="000000"/>
                <w:sz w:val="18"/>
              </w:rPr>
              <w:t>Staff TOTP; single tenant code</w:t>
            </w:r>
          </w:p>
        </w:tc>
        <w:tc>
          <w:tcPr>
            <w:tcW w:type="dxa" w:w="4968"/>
            <w:vAlign w:val="center"/>
            <w:tcMar>
              <w:top w:w="90" w:type="dxa"/>
              <w:bottom w:w="90" w:type="dxa"/>
              <w:left w:w="90" w:type="dxa"/>
              <w:right w:w="90" w:type="dxa"/>
            </w:tcMar>
            <w:shd w:fill="F2F5F8"/>
          </w:tcPr>
          <w:p>
            <w:pPr>
              <w:spacing w:after="60" w:line="252" w:lineRule="auto"/>
            </w:pPr>
            <w:r>
              <w:rPr>
                <w:b w:val="0"/>
                <w:color w:val="000000"/>
                <w:sz w:val="18"/>
              </w:rPr>
              <w:t>Fix F01; assess required MFA coverage and authentication strength across the environment.</w:t>
            </w:r>
          </w:p>
        </w:tc>
      </w:tr>
      <w:tr>
        <w:trPr>
          <w:cantSplit/>
        </w:trPr>
        <w:tc>
          <w:tcPr>
            <w:tcW w:type="dxa" w:w="2160"/>
            <w:vAlign w:val="center"/>
            <w:tcMar>
              <w:top w:w="90" w:type="dxa"/>
              <w:bottom w:w="90" w:type="dxa"/>
              <w:left w:w="90" w:type="dxa"/>
              <w:right w:w="90" w:type="dxa"/>
            </w:tcMar>
            <w:shd w:fill="FFFFFF"/>
          </w:tcPr>
          <w:p>
            <w:pPr>
              <w:spacing w:after="60" w:line="252" w:lineRule="auto"/>
            </w:pPr>
            <w:r>
              <w:rPr>
                <w:b w:val="0"/>
                <w:color w:val="000000"/>
                <w:sz w:val="18"/>
              </w:rPr>
              <w:t>Regular backups</w:t>
            </w:r>
          </w:p>
        </w:tc>
        <w:tc>
          <w:tcPr>
            <w:tcW w:type="dxa" w:w="2664"/>
            <w:vAlign w:val="center"/>
            <w:tcMar>
              <w:top w:w="90" w:type="dxa"/>
              <w:bottom w:w="90" w:type="dxa"/>
              <w:left w:w="90" w:type="dxa"/>
              <w:right w:w="90" w:type="dxa"/>
            </w:tcMar>
            <w:shd w:fill="FFFFFF"/>
          </w:tcPr>
          <w:p>
            <w:pPr>
              <w:spacing w:after="60" w:line="252" w:lineRule="auto"/>
            </w:pPr>
            <w:r>
              <w:rPr>
                <w:b w:val="0"/>
                <w:color w:val="000000"/>
                <w:sz w:val="18"/>
              </w:rPr>
              <w:t>Named persistent volume</w:t>
            </w:r>
          </w:p>
        </w:tc>
        <w:tc>
          <w:tcPr>
            <w:tcW w:type="dxa" w:w="4968"/>
            <w:vAlign w:val="center"/>
            <w:tcMar>
              <w:top w:w="90" w:type="dxa"/>
              <w:bottom w:w="90" w:type="dxa"/>
              <w:left w:w="90" w:type="dxa"/>
              <w:right w:w="90" w:type="dxa"/>
            </w:tcMar>
            <w:shd w:fill="FFFFFF"/>
          </w:tcPr>
          <w:p>
            <w:pPr>
              <w:spacing w:after="60" w:line="252" w:lineRule="auto"/>
            </w:pPr>
            <w:r>
              <w:rPr>
                <w:b w:val="0"/>
                <w:color w:val="000000"/>
                <w:sz w:val="18"/>
              </w:rPr>
              <w:t>Scheduled protected backups, access separation and recorded restoration exercises.</w:t>
            </w:r>
          </w:p>
        </w:tc>
      </w:tr>
    </w:tbl>
    <w:p>
      <w:pPr>
        <w:spacing w:after="0"/>
      </w:pPr>
    </w:p>
    <w:p>
      <w:r>
        <w:t>Status: maturity unsubstantiated. Missing evidence is not a measured maturity score. An assessment must check implementation and effectiveness against the chosen current target level [8].</w:t>
      </w:r>
    </w:p>
    <w:p>
      <w:r>
        <w:br w:type="page"/>
      </w:r>
    </w:p>
    <w:p>
      <w:pPr>
        <w:pStyle w:val="Heading1"/>
      </w:pPr>
      <w:r>
        <w:t>Remediation sequence and review evidence</w:t>
      </w:r>
    </w:p>
    <w:p>
      <w:r>
        <w:t>The following sequence is proposed for planning. Owners are suggested functions, not assigned people or commitments. Completion depends on implementation and verification rather than an arbitrary date.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2880"/>
        <w:gridCol w:w="2160"/>
        <w:gridCol w:w="3456"/>
      </w:tblGrid>
      <w:tr>
        <w:trPr>
          <w:cantSplit/>
          <w:tblHeader/>
        </w:trPr>
        <w:tc>
          <w:tcPr>
            <w:tcW w:type="dxa" w:w="1296"/>
            <w:vAlign w:val="center"/>
            <w:tcMar>
              <w:top w:w="90" w:type="dxa"/>
              <w:bottom w:w="90" w:type="dxa"/>
              <w:left w:w="90" w:type="dxa"/>
              <w:right w:w="90" w:type="dxa"/>
            </w:tcMar>
            <w:shd w:fill="17365D"/>
          </w:tcPr>
          <w:p>
            <w:pPr>
              <w:spacing w:after="60" w:line="252" w:lineRule="auto"/>
            </w:pPr>
            <w:r>
              <w:rPr>
                <w:b/>
                <w:color w:val="FFFFFF"/>
                <w:sz w:val="18"/>
              </w:rPr>
              <w:t>Stage</w:t>
            </w:r>
          </w:p>
        </w:tc>
        <w:tc>
          <w:tcPr>
            <w:tcW w:type="dxa" w:w="2880"/>
            <w:vAlign w:val="center"/>
            <w:tcMar>
              <w:top w:w="90" w:type="dxa"/>
              <w:bottom w:w="90" w:type="dxa"/>
              <w:left w:w="90" w:type="dxa"/>
              <w:right w:w="90" w:type="dxa"/>
            </w:tcMar>
            <w:shd w:fill="17365D"/>
          </w:tcPr>
          <w:p>
            <w:pPr>
              <w:spacing w:after="60" w:line="252" w:lineRule="auto"/>
            </w:pPr>
            <w:r>
              <w:rPr>
                <w:b/>
                <w:color w:val="FFFFFF"/>
                <w:sz w:val="18"/>
              </w:rPr>
              <w:t>Work</w:t>
            </w:r>
          </w:p>
        </w:tc>
        <w:tc>
          <w:tcPr>
            <w:tcW w:type="dxa" w:w="2160"/>
            <w:vAlign w:val="center"/>
            <w:tcMar>
              <w:top w:w="90" w:type="dxa"/>
              <w:bottom w:w="90" w:type="dxa"/>
              <w:left w:w="90" w:type="dxa"/>
              <w:right w:w="90" w:type="dxa"/>
            </w:tcMar>
            <w:shd w:fill="17365D"/>
          </w:tcPr>
          <w:p>
            <w:pPr>
              <w:spacing w:after="60" w:line="252" w:lineRule="auto"/>
            </w:pPr>
            <w:r>
              <w:rPr>
                <w:b/>
                <w:color w:val="FFFFFF"/>
                <w:sz w:val="18"/>
              </w:rPr>
              <w:t>Suggested owner</w:t>
            </w:r>
          </w:p>
        </w:tc>
        <w:tc>
          <w:tcPr>
            <w:tcW w:type="dxa" w:w="3456"/>
            <w:vAlign w:val="center"/>
            <w:tcMar>
              <w:top w:w="90" w:type="dxa"/>
              <w:bottom w:w="90" w:type="dxa"/>
              <w:left w:w="90" w:type="dxa"/>
              <w:right w:w="90" w:type="dxa"/>
            </w:tcMar>
            <w:shd w:fill="17365D"/>
          </w:tcPr>
          <w:p>
            <w:pPr>
              <w:spacing w:after="60" w:line="252" w:lineRule="auto"/>
            </w:pPr>
            <w:r>
              <w:rPr>
                <w:b/>
                <w:color w:val="FFFFFF"/>
                <w:sz w:val="18"/>
              </w:rPr>
              <w:t>Completion evidence</w:t>
            </w:r>
          </w:p>
        </w:tc>
      </w:tr>
      <w:tr>
        <w:trPr>
          <w:cantSplit/>
        </w:trPr>
        <w:tc>
          <w:tcPr>
            <w:tcW w:type="dxa" w:w="1296"/>
            <w:vAlign w:val="center"/>
            <w:tcMar>
              <w:top w:w="90" w:type="dxa"/>
              <w:bottom w:w="90" w:type="dxa"/>
              <w:left w:w="90" w:type="dxa"/>
              <w:right w:w="90" w:type="dxa"/>
            </w:tcMar>
            <w:shd w:fill="F2F5F8"/>
          </w:tcPr>
          <w:p>
            <w:pPr>
              <w:spacing w:after="60" w:line="252" w:lineRule="auto"/>
            </w:pPr>
            <w:r>
              <w:rPr>
                <w:b w:val="0"/>
                <w:color w:val="000000"/>
                <w:sz w:val="18"/>
              </w:rPr>
              <w:t>1 Before real data</w:t>
            </w:r>
          </w:p>
        </w:tc>
        <w:tc>
          <w:tcPr>
            <w:tcW w:type="dxa" w:w="2880"/>
            <w:vAlign w:val="center"/>
            <w:tcMar>
              <w:top w:w="90" w:type="dxa"/>
              <w:bottom w:w="90" w:type="dxa"/>
              <w:left w:w="90" w:type="dxa"/>
              <w:right w:w="90" w:type="dxa"/>
            </w:tcMar>
            <w:shd w:fill="F2F5F8"/>
          </w:tcPr>
          <w:p>
            <w:pPr>
              <w:spacing w:after="60" w:line="252" w:lineRule="auto"/>
            </w:pPr>
            <w:r>
              <w:rPr>
                <w:b w:val="0"/>
                <w:color w:val="000000"/>
                <w:sz w:val="18"/>
              </w:rPr>
              <w:t>Fix F01 and F02; add targeted regression tests</w:t>
            </w:r>
          </w:p>
        </w:tc>
        <w:tc>
          <w:tcPr>
            <w:tcW w:type="dxa" w:w="2160"/>
            <w:vAlign w:val="center"/>
            <w:tcMar>
              <w:top w:w="90" w:type="dxa"/>
              <w:bottom w:w="90" w:type="dxa"/>
              <w:left w:w="90" w:type="dxa"/>
              <w:right w:w="90" w:type="dxa"/>
            </w:tcMar>
            <w:shd w:fill="F2F5F8"/>
          </w:tcPr>
          <w:p>
            <w:pPr>
              <w:spacing w:after="60" w:line="252" w:lineRule="auto"/>
            </w:pPr>
            <w:r>
              <w:rPr>
                <w:b w:val="0"/>
                <w:color w:val="000000"/>
                <w:sz w:val="18"/>
              </w:rPr>
              <w:t>Backend and security leads</w:t>
            </w:r>
          </w:p>
        </w:tc>
        <w:tc>
          <w:tcPr>
            <w:tcW w:type="dxa" w:w="3456"/>
            <w:vAlign w:val="center"/>
            <w:tcMar>
              <w:top w:w="90" w:type="dxa"/>
              <w:bottom w:w="90" w:type="dxa"/>
              <w:left w:w="90" w:type="dxa"/>
              <w:right w:w="90" w:type="dxa"/>
            </w:tcMar>
            <w:shd w:fill="F2F5F8"/>
          </w:tcPr>
          <w:p>
            <w:pPr>
              <w:spacing w:after="60" w:line="252" w:lineRule="auto"/>
            </w:pPr>
            <w:r>
              <w:rPr>
                <w:b w:val="0"/>
                <w:color w:val="000000"/>
                <w:sz w:val="18"/>
              </w:rPr>
              <w:t>MFA bypass rejected; tenancy boundaries tested across routes and exports.</w:t>
            </w:r>
          </w:p>
        </w:tc>
      </w:tr>
      <w:tr>
        <w:trPr>
          <w:cantSplit/>
        </w:trPr>
        <w:tc>
          <w:tcPr>
            <w:tcW w:type="dxa" w:w="1296"/>
            <w:vAlign w:val="center"/>
            <w:tcMar>
              <w:top w:w="90" w:type="dxa"/>
              <w:bottom w:w="90" w:type="dxa"/>
              <w:left w:w="90" w:type="dxa"/>
              <w:right w:w="90" w:type="dxa"/>
            </w:tcMar>
            <w:shd w:fill="FFFFFF"/>
          </w:tcPr>
          <w:p>
            <w:pPr>
              <w:spacing w:after="60" w:line="252" w:lineRule="auto"/>
            </w:pPr>
            <w:r>
              <w:rPr>
                <w:b w:val="0"/>
                <w:color w:val="000000"/>
                <w:sz w:val="18"/>
              </w:rPr>
              <w:t>2 Production baseline</w:t>
            </w:r>
          </w:p>
        </w:tc>
        <w:tc>
          <w:tcPr>
            <w:tcW w:type="dxa" w:w="2880"/>
            <w:vAlign w:val="center"/>
            <w:tcMar>
              <w:top w:w="90" w:type="dxa"/>
              <w:bottom w:w="90" w:type="dxa"/>
              <w:left w:w="90" w:type="dxa"/>
              <w:right w:w="90" w:type="dxa"/>
            </w:tcMar>
            <w:shd w:fill="FFFFFF"/>
          </w:tcPr>
          <w:p>
            <w:pPr>
              <w:spacing w:after="60" w:line="252" w:lineRule="auto"/>
            </w:pPr>
            <w:r>
              <w:rPr>
                <w:b w:val="0"/>
                <w:color w:val="000000"/>
                <w:sz w:val="18"/>
              </w:rPr>
              <w:t>Treat F03-F05 and F08</w:t>
            </w:r>
          </w:p>
        </w:tc>
        <w:tc>
          <w:tcPr>
            <w:tcW w:type="dxa" w:w="2160"/>
            <w:vAlign w:val="center"/>
            <w:tcMar>
              <w:top w:w="90" w:type="dxa"/>
              <w:bottom w:w="90" w:type="dxa"/>
              <w:left w:w="90" w:type="dxa"/>
              <w:right w:w="90" w:type="dxa"/>
            </w:tcMar>
            <w:shd w:fill="FFFFFF"/>
          </w:tcPr>
          <w:p>
            <w:pPr>
              <w:spacing w:after="60" w:line="252" w:lineRule="auto"/>
            </w:pPr>
            <w:r>
              <w:rPr>
                <w:b w:val="0"/>
                <w:color w:val="000000"/>
                <w:sz w:val="18"/>
              </w:rPr>
              <w:t>Platform and backend leads</w:t>
            </w:r>
          </w:p>
        </w:tc>
        <w:tc>
          <w:tcPr>
            <w:tcW w:type="dxa" w:w="3456"/>
            <w:vAlign w:val="center"/>
            <w:tcMar>
              <w:top w:w="90" w:type="dxa"/>
              <w:bottom w:w="90" w:type="dxa"/>
              <w:left w:w="90" w:type="dxa"/>
              <w:right w:w="90" w:type="dxa"/>
            </w:tcMar>
            <w:shd w:fill="FFFFFF"/>
          </w:tcPr>
          <w:p>
            <w:pPr>
              <w:spacing w:after="60" w:line="252" w:lineRule="auto"/>
            </w:pPr>
            <w:r>
              <w:rPr>
                <w:b w:val="0"/>
                <w:color w:val="000000"/>
                <w:sz w:val="18"/>
              </w:rPr>
              <w:t>Production settings verified; secrets protected; restoration demonstrated; image inventory and scans retained.</w:t>
            </w:r>
          </w:p>
        </w:tc>
      </w:tr>
      <w:tr>
        <w:trPr>
          <w:cantSplit/>
        </w:trPr>
        <w:tc>
          <w:tcPr>
            <w:tcW w:type="dxa" w:w="1296"/>
            <w:vAlign w:val="center"/>
            <w:tcMar>
              <w:top w:w="90" w:type="dxa"/>
              <w:bottom w:w="90" w:type="dxa"/>
              <w:left w:w="90" w:type="dxa"/>
              <w:right w:w="90" w:type="dxa"/>
            </w:tcMar>
            <w:shd w:fill="F2F5F8"/>
          </w:tcPr>
          <w:p>
            <w:pPr>
              <w:spacing w:after="60" w:line="252" w:lineRule="auto"/>
            </w:pPr>
            <w:r>
              <w:rPr>
                <w:b w:val="0"/>
                <w:color w:val="000000"/>
                <w:sz w:val="18"/>
              </w:rPr>
              <w:t>3 Operations and privacy</w:t>
            </w:r>
          </w:p>
        </w:tc>
        <w:tc>
          <w:tcPr>
            <w:tcW w:type="dxa" w:w="2880"/>
            <w:vAlign w:val="center"/>
            <w:tcMar>
              <w:top w:w="90" w:type="dxa"/>
              <w:bottom w:w="90" w:type="dxa"/>
              <w:left w:w="90" w:type="dxa"/>
              <w:right w:w="90" w:type="dxa"/>
            </w:tcMar>
            <w:shd w:fill="F2F5F8"/>
          </w:tcPr>
          <w:p>
            <w:pPr>
              <w:spacing w:after="60" w:line="252" w:lineRule="auto"/>
            </w:pPr>
            <w:r>
              <w:rPr>
                <w:b w:val="0"/>
                <w:color w:val="000000"/>
                <w:sz w:val="18"/>
              </w:rPr>
              <w:t>Treat F06, F07 and F09</w:t>
            </w:r>
          </w:p>
        </w:tc>
        <w:tc>
          <w:tcPr>
            <w:tcW w:type="dxa" w:w="2160"/>
            <w:vAlign w:val="center"/>
            <w:tcMar>
              <w:top w:w="90" w:type="dxa"/>
              <w:bottom w:w="90" w:type="dxa"/>
              <w:left w:w="90" w:type="dxa"/>
              <w:right w:w="90" w:type="dxa"/>
            </w:tcMar>
            <w:shd w:fill="F2F5F8"/>
          </w:tcPr>
          <w:p>
            <w:pPr>
              <w:spacing w:after="60" w:line="252" w:lineRule="auto"/>
            </w:pPr>
            <w:r>
              <w:rPr>
                <w:b w:val="0"/>
                <w:color w:val="000000"/>
                <w:sz w:val="18"/>
              </w:rPr>
              <w:t>Service owner, privacy and security leads</w:t>
            </w:r>
          </w:p>
        </w:tc>
        <w:tc>
          <w:tcPr>
            <w:tcW w:type="dxa" w:w="3456"/>
            <w:vAlign w:val="center"/>
            <w:tcMar>
              <w:top w:w="90" w:type="dxa"/>
              <w:bottom w:w="90" w:type="dxa"/>
              <w:left w:w="90" w:type="dxa"/>
              <w:right w:w="90" w:type="dxa"/>
            </w:tcMar>
            <w:shd w:fill="F2F5F8"/>
          </w:tcPr>
          <w:p>
            <w:pPr>
              <w:spacing w:after="60" w:line="252" w:lineRule="auto"/>
            </w:pPr>
            <w:r>
              <w:rPr>
                <w:b w:val="0"/>
                <w:color w:val="000000"/>
                <w:sz w:val="18"/>
              </w:rPr>
              <w:t>Retention enforced; alert exercise completed; security status accurate.</w:t>
            </w:r>
          </w:p>
        </w:tc>
      </w:tr>
      <w:tr>
        <w:trPr>
          <w:cantSplit/>
        </w:trPr>
        <w:tc>
          <w:tcPr>
            <w:tcW w:type="dxa" w:w="1296"/>
            <w:vAlign w:val="center"/>
            <w:tcMar>
              <w:top w:w="90" w:type="dxa"/>
              <w:bottom w:w="90" w:type="dxa"/>
              <w:left w:w="90" w:type="dxa"/>
              <w:right w:w="90" w:type="dxa"/>
            </w:tcMar>
            <w:shd w:fill="FFFFFF"/>
          </w:tcPr>
          <w:p>
            <w:pPr>
              <w:spacing w:after="60" w:line="252" w:lineRule="auto"/>
            </w:pPr>
            <w:r>
              <w:rPr>
                <w:b w:val="0"/>
                <w:color w:val="000000"/>
                <w:sz w:val="18"/>
              </w:rPr>
              <w:t>4 Assurance preparation</w:t>
            </w:r>
          </w:p>
        </w:tc>
        <w:tc>
          <w:tcPr>
            <w:tcW w:type="dxa" w:w="2880"/>
            <w:vAlign w:val="center"/>
            <w:tcMar>
              <w:top w:w="90" w:type="dxa"/>
              <w:bottom w:w="90" w:type="dxa"/>
              <w:left w:w="90" w:type="dxa"/>
              <w:right w:w="90" w:type="dxa"/>
            </w:tcMar>
            <w:shd w:fill="FFFFFF"/>
          </w:tcPr>
          <w:p>
            <w:pPr>
              <w:spacing w:after="60" w:line="252" w:lineRule="auto"/>
            </w:pPr>
            <w:r>
              <w:rPr>
                <w:b w:val="0"/>
                <w:color w:val="000000"/>
                <w:sz w:val="18"/>
              </w:rPr>
              <w:t>Define scope, controls, responsibilities and evidence collection</w:t>
            </w:r>
          </w:p>
        </w:tc>
        <w:tc>
          <w:tcPr>
            <w:tcW w:type="dxa" w:w="2160"/>
            <w:vAlign w:val="center"/>
            <w:tcMar>
              <w:top w:w="90" w:type="dxa"/>
              <w:bottom w:w="90" w:type="dxa"/>
              <w:left w:w="90" w:type="dxa"/>
              <w:right w:w="90" w:type="dxa"/>
            </w:tcMar>
            <w:shd w:fill="FFFFFF"/>
          </w:tcPr>
          <w:p>
            <w:pPr>
              <w:spacing w:after="60" w:line="252" w:lineRule="auto"/>
            </w:pPr>
            <w:r>
              <w:rPr>
                <w:b w:val="0"/>
                <w:color w:val="000000"/>
                <w:sz w:val="18"/>
              </w:rPr>
              <w:t>Service owner and assurance lead</w:t>
            </w:r>
          </w:p>
        </w:tc>
        <w:tc>
          <w:tcPr>
            <w:tcW w:type="dxa" w:w="3456"/>
            <w:vAlign w:val="center"/>
            <w:tcMar>
              <w:top w:w="90" w:type="dxa"/>
              <w:bottom w:w="90" w:type="dxa"/>
              <w:left w:w="90" w:type="dxa"/>
              <w:right w:w="90" w:type="dxa"/>
            </w:tcMar>
            <w:shd w:fill="FFFFFF"/>
          </w:tcPr>
          <w:p>
            <w:pPr>
              <w:spacing w:after="60" w:line="252" w:lineRule="auto"/>
            </w:pPr>
            <w:r>
              <w:rPr>
                <w:b w:val="0"/>
                <w:color w:val="000000"/>
                <w:sz w:val="18"/>
              </w:rPr>
              <w:t>Approved risk register, policies, evidence index and scoped assessment plan.</w:t>
            </w:r>
          </w:p>
        </w:tc>
      </w:tr>
    </w:tbl>
    <w:p>
      <w:pPr>
        <w:spacing w:after="0"/>
      </w:pPr>
    </w:p>
    <w:p>
      <w:pPr>
        <w:pStyle w:val="Heading1"/>
      </w:pPr>
      <w:r>
        <w:t>Verification record</w:t>
      </w:r>
    </w:p>
    <w:p>
      <w:r>
        <w:t>32 targeted tests passed during the review: engine/tests/programme/test_security.py, test_portals.py and test_mv_and_data.py. The earlier image validation passed 167 backend tests. The separate MFA test confirmed replacement and session issuance without the original second factor. Existing tests therefore need coverage for this attack path.</w:t>
      </w:r>
    </w:p>
    <w:p>
      <w:r>
        <w:t>No independent penetration test, host security assessment, cloud review, backup exercise or fresh vulnerability scan was completed. Organisational controls outside the repository require owner-supplied evidence. Revalidate findings against the exact release and production configuration before closing them.</w:t>
      </w:r>
    </w:p>
    <w:p>
      <w:pPr>
        <w:pStyle w:val="Heading1"/>
      </w:pPr>
      <w:r>
        <w:t>Evidence locations</w:t>
      </w:r>
    </w:p>
    <w:p>
      <w:r>
        <w:t>Application: engine/programme/auth.py; engine/programme/db.py; engine/programme/ledger.py; engine/programme/views.py; engine/programme/audit.py; engine/api/programme.py; web/src/console/api.ts; web/src/console/auth.ts.</w:t>
      </w:r>
    </w:p>
    <w:p>
      <w:r>
        <w:t>Deployment and assurance: Dockerfile; compose.yaml; requirements.txt; requirements.lock; web/package-lock.json; SECURITY.md; docs/it-assurance.md; docs/incident-response.md; docs/research-gov-it-standards.md. Paths are relative to the project root; line references describe the reviewed version.</w:t>
      </w:r>
    </w:p>
    <w:p>
      <w:r>
        <w:br w:type="page"/>
      </w:r>
    </w:p>
    <w:p>
      <w:pPr>
        <w:pStyle w:val="Heading1"/>
      </w:pPr>
      <w:r>
        <w:t>Official sources</w:t>
      </w:r>
    </w:p>
    <w:p>
      <w:r>
        <w:t>Sources checked on 4 October 2026. References support the framework descriptions and readiness approach. Product findings are supported by the repository and testing evidence described in this report.</w:t>
      </w:r>
    </w:p>
    <w:p>
      <w:hyperlink r:id="rId10">
        <w:r>
          <w:rPr>
            <w:color w:val="17365D"/>
          </w:rPr>
          <w:t>[1] ISO IEC 27001 2022 overview</w:t>
        </w:r>
      </w:hyperlink>
    </w:p>
    <w:p>
      <w:hyperlink r:id="rId11">
        <w:r>
          <w:rPr>
            <w:color w:val="17365D"/>
          </w:rPr>
          <w:t>[2] AICPA System and Organization Controls suite of services</w:t>
        </w:r>
      </w:hyperlink>
    </w:p>
    <w:p>
      <w:hyperlink r:id="rId12">
        <w:r>
          <w:rPr>
            <w:color w:val="17365D"/>
          </w:rPr>
          <w:t>[3] AICPA SOC 2 report review checklist</w:t>
        </w:r>
      </w:hyperlink>
    </w:p>
    <w:p>
      <w:hyperlink r:id="rId13">
        <w:r>
          <w:rPr>
            <w:color w:val="17365D"/>
          </w:rPr>
          <w:t>[4] ASD Infosec Registered Assessors Program</w:t>
        </w:r>
      </w:hyperlink>
    </w:p>
    <w:p>
      <w:hyperlink r:id="rId14">
        <w:r>
          <w:rPr>
            <w:color w:val="17365D"/>
          </w:rPr>
          <w:t>[5] ASD Information security manual September 2026</w:t>
        </w:r>
      </w:hyperlink>
    </w:p>
    <w:p>
      <w:hyperlink r:id="rId15">
        <w:r>
          <w:rPr>
            <w:color w:val="17365D"/>
          </w:rPr>
          <w:t>[6] ASD Guidelines for cyber security documentation</w:t>
        </w:r>
      </w:hyperlink>
    </w:p>
    <w:p>
      <w:hyperlink r:id="rId16">
        <w:r>
          <w:rPr>
            <w:color w:val="17365D"/>
          </w:rPr>
          <w:t>[7] ASD Essential Eight maturity model</w:t>
        </w:r>
      </w:hyperlink>
    </w:p>
    <w:p>
      <w:hyperlink r:id="rId17">
        <w:r>
          <w:rPr>
            <w:color w:val="17365D"/>
          </w:rPr>
          <w:t>[8] ASD Essential Eight assessment process guide</w:t>
        </w:r>
      </w:hyperlink>
    </w:p>
    <w:p>
      <w:pPr>
        <w:pStyle w:val="Heading1"/>
      </w:pPr>
      <w:r>
        <w:t>Use of this report</w:t>
      </w:r>
    </w:p>
    <w:p>
      <w:r>
        <w:t>Use the findings to prioritise engineering work and build assessment evidence. Describe Meterwise as having implemented controls and identified gaps until the applicable assurance process and supporting evidence justify a stronger claim. Keep the assessment boundary, test dates and residual risks visible in procurement and deployment decisions.</w:t>
      </w:r>
    </w:p>
    <w:sectPr w:rsidR="00FC693F" w:rsidRPr="0006063C" w:rsidSect="00034616">
      <w:footerReference w:type="default" r:id="rId9"/>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Meterwise security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so.org/standard/27001" TargetMode="External"/><Relationship Id="rId11" Type="http://schemas.openxmlformats.org/officeDocument/2006/relationships/hyperlink" Target="https://www.aicpa-cima.com/resources/landing/system-and-organization-controls-soc-suite-of-services" TargetMode="External"/><Relationship Id="rId12" Type="http://schemas.openxmlformats.org/officeDocument/2006/relationships/hyperlink" Target="https://assets.ctfassets.net/rb9cdnjh59cm/3xbcLlNc5rd72So4nQpNIk/7a3e8e5945c78c35fc5e116859b96e6a/SOC_2_Report_%C3%82_Review_Checklist.pdf" TargetMode="External"/><Relationship Id="rId13" Type="http://schemas.openxmlformats.org/officeDocument/2006/relationships/hyperlink" Target="https://www.cyber.gov.au/business-government/protecting-devices-systems/assessment-evaluation-programs/irap" TargetMode="External"/><Relationship Id="rId14" Type="http://schemas.openxmlformats.org/officeDocument/2006/relationships/hyperlink" Target="https://www.cyber.gov.au/ism" TargetMode="External"/><Relationship Id="rId15" Type="http://schemas.openxmlformats.org/officeDocument/2006/relationships/hyperlink" Target="https://www.cyber.gov.au/business-government/asds-cyber-security-frameworks/ism/cyber-security-guidelines/guidelines-for-cyber-security-documentation" TargetMode="External"/><Relationship Id="rId16" Type="http://schemas.openxmlformats.org/officeDocument/2006/relationships/hyperlink" Target="https://www.cyber.gov.au/business-government/asds-cyber-security-frameworks/essential-eight/essential-eight-maturity-model" TargetMode="External"/><Relationship Id="rId17" Type="http://schemas.openxmlformats.org/officeDocument/2006/relationships/hyperlink" Target="https://www.cyber.gov.au/business-government/asds-cyber-security-frameworks/essential-eight/essential-eight-assessment-proces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Meterwise Data and Application Security Readiness Review</dc:title>
  <dc:subject>ISO 27001 SOC 2 IRAP and Essential Eight readiness</dc:subject>
  <dc:creator/>
  <cp:keywords>Meterwise, security, readiness review</cp:keywords>
  <dc:description>generated by python-docx</dc:description>
  <cp:lastModifiedBy/>
  <cp:revision>1</cp:revision>
  <dcterms:created xsi:type="dcterms:W3CDTF">2013-12-23T23:15:00Z</dcterms:created>
  <dcterms:modified xsi:type="dcterms:W3CDTF">2013-12-23T23:15:00Z</dcterms:modified>
  <cp:category/>
</cp:coreProperties>
</file>