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F8649" w14:textId="44A3FBD4" w:rsidR="0064650E" w:rsidRPr="0064650E" w:rsidRDefault="0064650E" w:rsidP="0064650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650E">
        <w:rPr>
          <w:rFonts w:ascii="Times New Roman" w:hAnsi="Times New Roman" w:cs="Times New Roman"/>
          <w:b/>
          <w:bCs/>
          <w:sz w:val="28"/>
          <w:szCs w:val="28"/>
          <w:u w:val="single"/>
        </w:rPr>
        <w:t>Reporte de Diagnóstico Financiero y Fugas de Capital: Global Superstore</w:t>
      </w:r>
    </w:p>
    <w:p w14:paraId="156EBCE0" w14:textId="5D7F8A57" w:rsidR="0064650E" w:rsidRPr="0064650E" w:rsidRDefault="0064650E" w:rsidP="0064650E">
      <w:pPr>
        <w:rPr>
          <w:rFonts w:ascii="Times New Roman" w:hAnsi="Times New Roman" w:cs="Times New Roman"/>
          <w:b/>
          <w:bCs/>
        </w:rPr>
      </w:pPr>
      <w:r w:rsidRPr="0064650E">
        <w:rPr>
          <w:rFonts w:ascii="Times New Roman" w:hAnsi="Times New Roman" w:cs="Times New Roman"/>
          <w:b/>
          <w:bCs/>
        </w:rPr>
        <w:t>Executive Summary (Resumen Ejecutivo)</w:t>
      </w:r>
      <w:r>
        <w:rPr>
          <w:rFonts w:ascii="Times New Roman" w:hAnsi="Times New Roman" w:cs="Times New Roman"/>
          <w:b/>
          <w:bCs/>
        </w:rPr>
        <w:t>:</w:t>
      </w:r>
    </w:p>
    <w:p w14:paraId="54508A8E" w14:textId="77777777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 xml:space="preserve">El presente diagnóstico evalúa el desempeño financiero y operativo de </w:t>
      </w:r>
      <w:r w:rsidRPr="0064650E">
        <w:rPr>
          <w:rFonts w:ascii="Times New Roman" w:hAnsi="Times New Roman" w:cs="Times New Roman"/>
          <w:b/>
          <w:bCs/>
        </w:rPr>
        <w:t>Global Superstore</w:t>
      </w:r>
      <w:r w:rsidRPr="0064650E">
        <w:rPr>
          <w:rFonts w:ascii="Times New Roman" w:hAnsi="Times New Roman" w:cs="Times New Roman"/>
        </w:rPr>
        <w:t xml:space="preserve"> sobre un universo de </w:t>
      </w:r>
      <w:r w:rsidRPr="0064650E">
        <w:rPr>
          <w:rFonts w:ascii="Times New Roman" w:hAnsi="Times New Roman" w:cs="Times New Roman"/>
          <w:b/>
          <w:bCs/>
        </w:rPr>
        <w:t>51,290 transacciones</w:t>
      </w:r>
      <w:r w:rsidRPr="0064650E">
        <w:rPr>
          <w:rFonts w:ascii="Times New Roman" w:hAnsi="Times New Roman" w:cs="Times New Roman"/>
        </w:rPr>
        <w:t xml:space="preserve">. Aunque la compañía reporta un volumen de ventas bruto saludable de </w:t>
      </w:r>
      <w:r w:rsidRPr="0064650E">
        <w:rPr>
          <w:rFonts w:ascii="Times New Roman" w:hAnsi="Times New Roman" w:cs="Times New Roman"/>
          <w:b/>
          <w:bCs/>
        </w:rPr>
        <w:t>$12,64M USD</w:t>
      </w:r>
      <w:r w:rsidRPr="0064650E">
        <w:rPr>
          <w:rFonts w:ascii="Times New Roman" w:hAnsi="Times New Roman" w:cs="Times New Roman"/>
        </w:rPr>
        <w:t xml:space="preserve">, la salud financiera del negocio se encuentra en </w:t>
      </w:r>
      <w:r w:rsidRPr="0064650E">
        <w:rPr>
          <w:rFonts w:ascii="Times New Roman" w:hAnsi="Times New Roman" w:cs="Times New Roman"/>
          <w:b/>
          <w:bCs/>
        </w:rPr>
        <w:t>estado crítico</w:t>
      </w:r>
      <w:r w:rsidRPr="0064650E">
        <w:rPr>
          <w:rFonts w:ascii="Times New Roman" w:hAnsi="Times New Roman" w:cs="Times New Roman"/>
        </w:rPr>
        <w:t xml:space="preserve"> debido a una utilidad bruta de solo </w:t>
      </w:r>
      <w:r w:rsidRPr="0064650E">
        <w:rPr>
          <w:rFonts w:ascii="Times New Roman" w:hAnsi="Times New Roman" w:cs="Times New Roman"/>
          <w:b/>
          <w:bCs/>
        </w:rPr>
        <w:t>$1,47M USD</w:t>
      </w:r>
      <w:r w:rsidRPr="0064650E">
        <w:rPr>
          <w:rFonts w:ascii="Times New Roman" w:hAnsi="Times New Roman" w:cs="Times New Roman"/>
        </w:rPr>
        <w:t xml:space="preserve">, representando un </w:t>
      </w:r>
      <w:r w:rsidRPr="0064650E">
        <w:rPr>
          <w:rFonts w:ascii="Times New Roman" w:hAnsi="Times New Roman" w:cs="Times New Roman"/>
          <w:b/>
          <w:bCs/>
        </w:rPr>
        <w:t>Margen Bruto de 11,62%</w:t>
      </w:r>
      <w:r w:rsidRPr="0064650E">
        <w:rPr>
          <w:rFonts w:ascii="Times New Roman" w:hAnsi="Times New Roman" w:cs="Times New Roman"/>
        </w:rPr>
        <w:t>.</w:t>
      </w:r>
    </w:p>
    <w:p w14:paraId="30E057BB" w14:textId="77777777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 xml:space="preserve">En la industria del e-commerce y retail global, donde los márgenes de utilidad bruta saludables oscilan entre el </w:t>
      </w:r>
      <w:r w:rsidRPr="0064650E">
        <w:rPr>
          <w:rFonts w:ascii="Times New Roman" w:hAnsi="Times New Roman" w:cs="Times New Roman"/>
          <w:b/>
          <w:bCs/>
        </w:rPr>
        <w:t>25% y 35%</w:t>
      </w:r>
      <w:r w:rsidRPr="0064650E">
        <w:rPr>
          <w:rFonts w:ascii="Times New Roman" w:hAnsi="Times New Roman" w:cs="Times New Roman"/>
        </w:rPr>
        <w:t xml:space="preserve">, un margen del 11,62% implica que la empresa opera al borde del punto de equilibrio (break-even). Al considerar los gastos operativos fijos (OPEX) —tales como nómina, almacenamiento, licencias e impuestos— la operación comercial actual </w:t>
      </w:r>
      <w:r w:rsidRPr="0064650E">
        <w:rPr>
          <w:rFonts w:ascii="Times New Roman" w:hAnsi="Times New Roman" w:cs="Times New Roman"/>
          <w:b/>
          <w:bCs/>
        </w:rPr>
        <w:t>destruye valor de manera sistemática</w:t>
      </w:r>
      <w:r w:rsidRPr="0064650E">
        <w:rPr>
          <w:rFonts w:ascii="Times New Roman" w:hAnsi="Times New Roman" w:cs="Times New Roman"/>
        </w:rPr>
        <w:t>.</w:t>
      </w:r>
    </w:p>
    <w:p w14:paraId="29927B39" w14:textId="77777777" w:rsidR="0064650E" w:rsidRPr="0064650E" w:rsidRDefault="0064650E" w:rsidP="0064650E">
      <w:pPr>
        <w:rPr>
          <w:rFonts w:ascii="Times New Roman" w:hAnsi="Times New Roman" w:cs="Times New Roman"/>
          <w:b/>
          <w:bCs/>
        </w:rPr>
      </w:pPr>
      <w:r w:rsidRPr="0064650E">
        <w:rPr>
          <w:rFonts w:ascii="Segoe UI Emoji" w:hAnsi="Segoe UI Emoji" w:cs="Segoe UI Emoji"/>
          <w:b/>
          <w:bCs/>
        </w:rPr>
        <w:t>📐</w:t>
      </w:r>
      <w:r w:rsidRPr="0064650E">
        <w:rPr>
          <w:rFonts w:ascii="Times New Roman" w:hAnsi="Times New Roman" w:cs="Times New Roman"/>
          <w:b/>
          <w:bCs/>
        </w:rPr>
        <w:t xml:space="preserve"> Indicadores Clave de Rendimiento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003"/>
        <w:gridCol w:w="1698"/>
        <w:gridCol w:w="3195"/>
      </w:tblGrid>
      <w:tr w:rsidR="0064650E" w:rsidRPr="0064650E" w14:paraId="456101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E0ED3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B9BAE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Valor Absoluto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032C3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% / Promedio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8206E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Estado / Diagnóstico</w:t>
            </w:r>
          </w:p>
        </w:tc>
      </w:tr>
      <w:tr w:rsidR="0064650E" w:rsidRPr="0064650E" w14:paraId="20B63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8B6C9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Ventas Brutas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91E6D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$12,64M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11A89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100,00%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3B291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Alto volumen de facturación (</w:t>
            </w:r>
            <w:r w:rsidRPr="0064650E">
              <w:rPr>
                <w:rFonts w:ascii="Times New Roman" w:hAnsi="Times New Roman" w:cs="Times New Roman"/>
                <w:i/>
                <w:iCs/>
              </w:rPr>
              <w:t>Top-line</w:t>
            </w:r>
            <w:r w:rsidRPr="0064650E">
              <w:rPr>
                <w:rFonts w:ascii="Times New Roman" w:hAnsi="Times New Roman" w:cs="Times New Roman"/>
              </w:rPr>
              <w:t xml:space="preserve"> engañoso)</w:t>
            </w:r>
          </w:p>
        </w:tc>
      </w:tr>
      <w:tr w:rsidR="0064650E" w:rsidRPr="0064650E" w14:paraId="2CFE7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7494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Margen Bruto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0143B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$1,47M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4D354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11,62%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C2AAF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Crítico:</w:t>
            </w:r>
            <w:r w:rsidRPr="0064650E">
              <w:rPr>
                <w:rFonts w:ascii="Times New Roman" w:hAnsi="Times New Roman" w:cs="Times New Roman"/>
              </w:rPr>
              <w:t xml:space="preserve"> Insuficiente para cubrir el OPEX</w:t>
            </w:r>
          </w:p>
        </w:tc>
      </w:tr>
      <w:tr w:rsidR="0064650E" w:rsidRPr="0064650E" w14:paraId="46866A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A5612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Costos de Envío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4B9BE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$1,35M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699A0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10,70%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03C4F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Fuga:</w:t>
            </w:r>
            <w:r w:rsidRPr="0064650E">
              <w:rPr>
                <w:rFonts w:ascii="Times New Roman" w:hAnsi="Times New Roman" w:cs="Times New Roman"/>
              </w:rPr>
              <w:t xml:space="preserve"> Consume el 91,8% del Margen Bruto</w:t>
            </w:r>
          </w:p>
        </w:tc>
      </w:tr>
      <w:tr w:rsidR="0064650E" w:rsidRPr="0064650E" w14:paraId="72D99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CAF9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Descuento Promedio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8793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FF96E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14,29%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0C16F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Destructivo:</w:t>
            </w:r>
            <w:r w:rsidRPr="0064650E">
              <w:rPr>
                <w:rFonts w:ascii="Times New Roman" w:hAnsi="Times New Roman" w:cs="Times New Roman"/>
              </w:rPr>
              <w:t xml:space="preserve"> Promociones descontroladas</w:t>
            </w:r>
          </w:p>
        </w:tc>
      </w:tr>
      <w:tr w:rsidR="0064650E" w:rsidRPr="0064650E" w14:paraId="229C9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E6C80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Ticket Promedio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53042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$505,01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931F0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D957C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Tamaño de orden elevado pero mal monetizado</w:t>
            </w:r>
          </w:p>
        </w:tc>
      </w:tr>
      <w:tr w:rsidR="0064650E" w:rsidRPr="0064650E" w14:paraId="462F69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EA3D5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  <w:b/>
                <w:bCs/>
              </w:rPr>
              <w:t>Volumen de Órdenes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012A0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25.000 transacciones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3B80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178.000 unidades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259E5" w14:textId="77777777" w:rsidR="0064650E" w:rsidRPr="0064650E" w:rsidRDefault="0064650E" w:rsidP="0064650E">
            <w:pPr>
              <w:rPr>
                <w:rFonts w:ascii="Times New Roman" w:hAnsi="Times New Roman" w:cs="Times New Roman"/>
              </w:rPr>
            </w:pPr>
            <w:r w:rsidRPr="0064650E">
              <w:rPr>
                <w:rFonts w:ascii="Times New Roman" w:hAnsi="Times New Roman" w:cs="Times New Roman"/>
              </w:rPr>
              <w:t>Alta carga operativa y logística</w:t>
            </w:r>
          </w:p>
        </w:tc>
      </w:tr>
    </w:tbl>
    <w:p w14:paraId="5268DA08" w14:textId="77777777" w:rsidR="0064650E" w:rsidRDefault="0064650E" w:rsidP="0064650E">
      <w:pPr>
        <w:rPr>
          <w:rFonts w:ascii="Segoe UI Emoji" w:hAnsi="Segoe UI Emoji" w:cs="Segoe UI Emoji"/>
          <w:b/>
          <w:bCs/>
        </w:rPr>
      </w:pPr>
    </w:p>
    <w:p w14:paraId="23DFEC27" w14:textId="49580FF4" w:rsidR="0064650E" w:rsidRPr="0064650E" w:rsidRDefault="0064650E" w:rsidP="0064650E">
      <w:pPr>
        <w:rPr>
          <w:rFonts w:ascii="Times New Roman" w:hAnsi="Times New Roman" w:cs="Times New Roman"/>
          <w:b/>
          <w:bCs/>
        </w:rPr>
      </w:pPr>
      <w:r w:rsidRPr="0064650E">
        <w:rPr>
          <w:rFonts w:ascii="Times New Roman" w:hAnsi="Times New Roman" w:cs="Times New Roman"/>
          <w:b/>
          <w:bCs/>
        </w:rPr>
        <w:t>Análisis Estadístico de Fugas Operativas</w:t>
      </w:r>
    </w:p>
    <w:p w14:paraId="6073689C" w14:textId="77777777" w:rsidR="0064650E" w:rsidRPr="0064650E" w:rsidRDefault="0064650E" w:rsidP="0064650E">
      <w:pPr>
        <w:rPr>
          <w:rFonts w:ascii="Times New Roman" w:hAnsi="Times New Roman" w:cs="Times New Roman"/>
          <w:b/>
          <w:bCs/>
        </w:rPr>
      </w:pPr>
      <w:r w:rsidRPr="0064650E">
        <w:rPr>
          <w:rFonts w:ascii="Times New Roman" w:hAnsi="Times New Roman" w:cs="Times New Roman"/>
          <w:b/>
          <w:bCs/>
        </w:rPr>
        <w:t>1. La Curva del Descuento (Sensibilidad Margen vs. Descuento)</w:t>
      </w:r>
    </w:p>
    <w:p w14:paraId="46811DB6" w14:textId="77777777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El análisis bivariado entre la variable % Descuento y % Margen Bruto revela una pendiente negativa exponencial a partir del umbral del 20%:</w:t>
      </w:r>
    </w:p>
    <w:p w14:paraId="625D9E51" w14:textId="77777777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Margen Bruto (%)</w:t>
      </w:r>
    </w:p>
    <w:p w14:paraId="3C8F630A" w14:textId="5946CC1D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15% |────┐</w:t>
      </w:r>
    </w:p>
    <w:p w14:paraId="63D759C3" w14:textId="242F3154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|  └───┐</w:t>
      </w:r>
    </w:p>
    <w:p w14:paraId="579B7397" w14:textId="0F93C391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0% |────────</w:t>
      </w:r>
      <w:r w:rsidRPr="0064650E">
        <w:rPr>
          <w:rFonts w:ascii="Times New Roman" w:eastAsia="MS Gothic" w:hAnsi="Times New Roman" w:cs="Times New Roman"/>
        </w:rPr>
        <w:t>┼</w:t>
      </w:r>
      <w:r w:rsidRPr="0064650E">
        <w:rPr>
          <w:rFonts w:ascii="Times New Roman" w:hAnsi="Times New Roman" w:cs="Times New Roman"/>
        </w:rPr>
        <w:t>──────────────────────── (Punto de quiebre ~21%)</w:t>
      </w:r>
    </w:p>
    <w:p w14:paraId="01AE5B53" w14:textId="32C24C59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-50% |        └──────┐</w:t>
      </w:r>
    </w:p>
    <w:p w14:paraId="18F22F1C" w14:textId="77777777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-400% |               └───────────────── (Descuentos &gt; 50%)</w:t>
      </w:r>
    </w:p>
    <w:p w14:paraId="1E06023E" w14:textId="62F7AE6C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└──────────────────────────────────</w:t>
      </w:r>
    </w:p>
    <w:p w14:paraId="6790D06C" w14:textId="52EB58FF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0%   10%   20%   30%   50%   80%   Discount (%)</w:t>
      </w:r>
    </w:p>
    <w:p w14:paraId="3998BF83" w14:textId="77777777" w:rsidR="0064650E" w:rsidRPr="0064650E" w:rsidRDefault="0064650E" w:rsidP="006465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  <w:b/>
          <w:bCs/>
        </w:rPr>
        <w:t>Zona Sostenible (0% - 15% Descuento):</w:t>
      </w:r>
      <w:r w:rsidRPr="0064650E">
        <w:rPr>
          <w:rFonts w:ascii="Times New Roman" w:hAnsi="Times New Roman" w:cs="Times New Roman"/>
        </w:rPr>
        <w:t xml:space="preserve"> Genera márgenes positivos constantes entre </w:t>
      </w:r>
      <w:r w:rsidRPr="0064650E">
        <w:rPr>
          <w:rFonts w:ascii="Times New Roman" w:hAnsi="Times New Roman" w:cs="Times New Roman"/>
          <w:b/>
          <w:bCs/>
        </w:rPr>
        <w:t>10% y 15%</w:t>
      </w:r>
      <w:r w:rsidRPr="0064650E">
        <w:rPr>
          <w:rFonts w:ascii="Times New Roman" w:hAnsi="Times New Roman" w:cs="Times New Roman"/>
        </w:rPr>
        <w:t>.</w:t>
      </w:r>
    </w:p>
    <w:p w14:paraId="33F7DD3B" w14:textId="77777777" w:rsidR="0064650E" w:rsidRPr="0064650E" w:rsidRDefault="0064650E" w:rsidP="006465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  <w:b/>
          <w:bCs/>
        </w:rPr>
        <w:t>Zona de Inflexión (20% - 30% Descuento):</w:t>
      </w:r>
      <w:r w:rsidRPr="0064650E">
        <w:rPr>
          <w:rFonts w:ascii="Times New Roman" w:hAnsi="Times New Roman" w:cs="Times New Roman"/>
        </w:rPr>
        <w:t xml:space="preserve"> El margen bruto cae a cero, absorbiendo todo el beneficio unitario.</w:t>
      </w:r>
    </w:p>
    <w:p w14:paraId="46EEF5B4" w14:textId="77777777" w:rsidR="0064650E" w:rsidRPr="0064650E" w:rsidRDefault="0064650E" w:rsidP="006465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  <w:b/>
          <w:bCs/>
        </w:rPr>
        <w:t>Zona de Destrucción de Valor (&gt; 50% Descuento):</w:t>
      </w:r>
      <w:r w:rsidRPr="0064650E">
        <w:rPr>
          <w:rFonts w:ascii="Times New Roman" w:hAnsi="Times New Roman" w:cs="Times New Roman"/>
        </w:rPr>
        <w:t xml:space="preserve"> El margen cae a niveles de </w:t>
      </w:r>
      <w:r w:rsidRPr="0064650E">
        <w:rPr>
          <w:rFonts w:ascii="Times New Roman" w:hAnsi="Times New Roman" w:cs="Times New Roman"/>
          <w:b/>
          <w:bCs/>
        </w:rPr>
        <w:t>-200% a -400%</w:t>
      </w:r>
      <w:r w:rsidRPr="0064650E">
        <w:rPr>
          <w:rFonts w:ascii="Times New Roman" w:hAnsi="Times New Roman" w:cs="Times New Roman"/>
        </w:rPr>
        <w:t>. En este tramo, el volumen comercializado representa subsidios netos transferidos al comprador.</w:t>
      </w:r>
    </w:p>
    <w:p w14:paraId="5854C8FD" w14:textId="77777777" w:rsidR="0064650E" w:rsidRPr="0064650E" w:rsidRDefault="0064650E" w:rsidP="0064650E">
      <w:pPr>
        <w:rPr>
          <w:rFonts w:ascii="Times New Roman" w:hAnsi="Times New Roman" w:cs="Times New Roman"/>
          <w:b/>
          <w:bCs/>
        </w:rPr>
      </w:pPr>
      <w:r w:rsidRPr="0064650E">
        <w:rPr>
          <w:rFonts w:ascii="Times New Roman" w:hAnsi="Times New Roman" w:cs="Times New Roman"/>
          <w:b/>
          <w:bCs/>
        </w:rPr>
        <w:t>2. Canibalización de Categorías: Muebles vs. Tecnología</w:t>
      </w:r>
    </w:p>
    <w:p w14:paraId="47AF8081" w14:textId="77777777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El análisis por subcategoría demuestra que el volumen de ventas brutas está enmascarando productos altamente deficitarios:</w:t>
      </w:r>
    </w:p>
    <w:p w14:paraId="32E1B29A" w14:textId="77777777" w:rsidR="0064650E" w:rsidRPr="0064650E" w:rsidRDefault="0064650E" w:rsidP="006465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  <w:b/>
          <w:bCs/>
        </w:rPr>
        <w:t>Motores de Rentabilidad:</w:t>
      </w:r>
      <w:r w:rsidRPr="0064650E">
        <w:rPr>
          <w:rFonts w:ascii="Times New Roman" w:hAnsi="Times New Roman" w:cs="Times New Roman"/>
        </w:rPr>
        <w:t xml:space="preserve"> </w:t>
      </w:r>
      <w:r w:rsidRPr="0064650E">
        <w:rPr>
          <w:rFonts w:ascii="Times New Roman" w:hAnsi="Times New Roman" w:cs="Times New Roman"/>
          <w:b/>
          <w:bCs/>
        </w:rPr>
        <w:t>Phones</w:t>
      </w:r>
      <w:r w:rsidRPr="0064650E">
        <w:rPr>
          <w:rFonts w:ascii="Times New Roman" w:hAnsi="Times New Roman" w:cs="Times New Roman"/>
        </w:rPr>
        <w:t xml:space="preserve"> (Teléfonos) y </w:t>
      </w:r>
      <w:r w:rsidRPr="0064650E">
        <w:rPr>
          <w:rFonts w:ascii="Times New Roman" w:hAnsi="Times New Roman" w:cs="Times New Roman"/>
          <w:b/>
          <w:bCs/>
        </w:rPr>
        <w:t>Copiers</w:t>
      </w:r>
      <w:r w:rsidRPr="0064650E">
        <w:rPr>
          <w:rFonts w:ascii="Times New Roman" w:hAnsi="Times New Roman" w:cs="Times New Roman"/>
        </w:rPr>
        <w:t xml:space="preserve"> (Copiadoras) lideran en volumen bruto y margen absoluto positivo.</w:t>
      </w:r>
    </w:p>
    <w:p w14:paraId="178D7A57" w14:textId="77777777" w:rsidR="0064650E" w:rsidRPr="0064650E" w:rsidRDefault="0064650E" w:rsidP="006465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  <w:b/>
          <w:bCs/>
        </w:rPr>
        <w:t>Fuga de Capital:</w:t>
      </w:r>
      <w:r w:rsidRPr="0064650E">
        <w:rPr>
          <w:rFonts w:ascii="Times New Roman" w:hAnsi="Times New Roman" w:cs="Times New Roman"/>
        </w:rPr>
        <w:t xml:space="preserve"> </w:t>
      </w:r>
      <w:r w:rsidRPr="0064650E">
        <w:rPr>
          <w:rFonts w:ascii="Times New Roman" w:hAnsi="Times New Roman" w:cs="Times New Roman"/>
          <w:b/>
          <w:bCs/>
        </w:rPr>
        <w:t>Tables</w:t>
      </w:r>
      <w:r w:rsidRPr="0064650E">
        <w:rPr>
          <w:rFonts w:ascii="Times New Roman" w:hAnsi="Times New Roman" w:cs="Times New Roman"/>
        </w:rPr>
        <w:t xml:space="preserve"> (Mesas) registra </w:t>
      </w:r>
      <w:r w:rsidRPr="0064650E">
        <w:rPr>
          <w:rFonts w:ascii="Times New Roman" w:hAnsi="Times New Roman" w:cs="Times New Roman"/>
          <w:b/>
          <w:bCs/>
        </w:rPr>
        <w:t>$757,03K USD</w:t>
      </w:r>
      <w:r w:rsidRPr="0064650E">
        <w:rPr>
          <w:rFonts w:ascii="Times New Roman" w:hAnsi="Times New Roman" w:cs="Times New Roman"/>
        </w:rPr>
        <w:t xml:space="preserve"> en ventas brutas con una pérdida neta de </w:t>
      </w:r>
      <w:r w:rsidRPr="0064650E">
        <w:rPr>
          <w:rFonts w:ascii="Times New Roman" w:hAnsi="Times New Roman" w:cs="Times New Roman"/>
          <w:b/>
          <w:bCs/>
        </w:rPr>
        <w:t>-$64,08K USD</w:t>
      </w:r>
      <w:r w:rsidRPr="0064650E">
        <w:rPr>
          <w:rFonts w:ascii="Times New Roman" w:hAnsi="Times New Roman" w:cs="Times New Roman"/>
        </w:rPr>
        <w:t xml:space="preserve"> (</w:t>
      </w:r>
      <w:r w:rsidRPr="0064650E">
        <w:rPr>
          <w:rFonts w:ascii="Times New Roman" w:hAnsi="Times New Roman" w:cs="Times New Roman"/>
          <w:b/>
          <w:bCs/>
        </w:rPr>
        <w:t>-8,47% de Margen Bruto</w:t>
      </w:r>
      <w:r w:rsidRPr="0064650E">
        <w:rPr>
          <w:rFonts w:ascii="Times New Roman" w:hAnsi="Times New Roman" w:cs="Times New Roman"/>
        </w:rPr>
        <w:t>).</w:t>
      </w:r>
    </w:p>
    <w:p w14:paraId="299B1E85" w14:textId="77777777" w:rsidR="0064650E" w:rsidRPr="0064650E" w:rsidRDefault="0064650E" w:rsidP="0064650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  <w:b/>
          <w:bCs/>
        </w:rPr>
        <w:t>Impacto Logístico en Muebles:</w:t>
      </w:r>
      <w:r w:rsidRPr="0064650E">
        <w:rPr>
          <w:rFonts w:ascii="Times New Roman" w:hAnsi="Times New Roman" w:cs="Times New Roman"/>
        </w:rPr>
        <w:t xml:space="preserve"> El costo de envío acumulado para la subcategoría </w:t>
      </w:r>
      <w:r w:rsidRPr="0064650E">
        <w:rPr>
          <w:rFonts w:ascii="Times New Roman" w:hAnsi="Times New Roman" w:cs="Times New Roman"/>
          <w:i/>
          <w:iCs/>
        </w:rPr>
        <w:t>Tables</w:t>
      </w:r>
      <w:r w:rsidRPr="0064650E">
        <w:rPr>
          <w:rFonts w:ascii="Times New Roman" w:hAnsi="Times New Roman" w:cs="Times New Roman"/>
        </w:rPr>
        <w:t xml:space="preserve"> asciende a </w:t>
      </w:r>
      <w:r w:rsidRPr="0064650E">
        <w:rPr>
          <w:rFonts w:ascii="Times New Roman" w:hAnsi="Times New Roman" w:cs="Times New Roman"/>
          <w:b/>
          <w:bCs/>
        </w:rPr>
        <w:t>$79,86K USD</w:t>
      </w:r>
      <w:r w:rsidRPr="0064650E">
        <w:rPr>
          <w:rFonts w:ascii="Times New Roman" w:hAnsi="Times New Roman" w:cs="Times New Roman"/>
        </w:rPr>
        <w:t xml:space="preserve"> (10,55% sobre la venta). La combinación de descuentos agresivos y costos fijos de transporte por volumen convierte a esta categoría en un drenaje financiero.</w:t>
      </w:r>
    </w:p>
    <w:p w14:paraId="3EEE8FA9" w14:textId="77777777" w:rsidR="0064650E" w:rsidRPr="0064650E" w:rsidRDefault="0064650E" w:rsidP="0064650E">
      <w:pPr>
        <w:rPr>
          <w:rFonts w:ascii="Times New Roman" w:hAnsi="Times New Roman" w:cs="Times New Roman"/>
          <w:b/>
          <w:bCs/>
        </w:rPr>
      </w:pPr>
      <w:r w:rsidRPr="0064650E">
        <w:rPr>
          <w:rFonts w:ascii="Times New Roman" w:hAnsi="Times New Roman" w:cs="Times New Roman"/>
          <w:b/>
          <w:bCs/>
        </w:rPr>
        <w:t>3. Ineficiencia en la Red Logística Regional</w:t>
      </w:r>
    </w:p>
    <w:p w14:paraId="610A1AD6" w14:textId="77777777" w:rsidR="0064650E" w:rsidRPr="0064650E" w:rsidRDefault="0064650E" w:rsidP="0064650E">
      <w:p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>El costo logístico total ($1,35M) representa casi la totalidad del margen bruto generado ($1,47M).</w:t>
      </w:r>
    </w:p>
    <w:p w14:paraId="5BB478C7" w14:textId="77777777" w:rsidR="0064650E" w:rsidRPr="0064650E" w:rsidRDefault="0064650E" w:rsidP="006465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 xml:space="preserve">Regiones como </w:t>
      </w:r>
      <w:r w:rsidRPr="0064650E">
        <w:rPr>
          <w:rFonts w:ascii="Times New Roman" w:hAnsi="Times New Roman" w:cs="Times New Roman"/>
          <w:b/>
          <w:bCs/>
        </w:rPr>
        <w:t>Central</w:t>
      </w:r>
      <w:r w:rsidRPr="0064650E">
        <w:rPr>
          <w:rFonts w:ascii="Times New Roman" w:hAnsi="Times New Roman" w:cs="Times New Roman"/>
        </w:rPr>
        <w:t xml:space="preserve"> y </w:t>
      </w:r>
      <w:r w:rsidRPr="0064650E">
        <w:rPr>
          <w:rFonts w:ascii="Times New Roman" w:hAnsi="Times New Roman" w:cs="Times New Roman"/>
          <w:b/>
          <w:bCs/>
        </w:rPr>
        <w:t>Central Asia</w:t>
      </w:r>
      <w:r w:rsidRPr="0064650E">
        <w:rPr>
          <w:rFonts w:ascii="Times New Roman" w:hAnsi="Times New Roman" w:cs="Times New Roman"/>
        </w:rPr>
        <w:t xml:space="preserve"> absorben la mayor proporción de fletes sin reflejar un ajuste proporcional en el precio final al consumidor.</w:t>
      </w:r>
    </w:p>
    <w:p w14:paraId="0CC253E1" w14:textId="3479EDC9" w:rsidR="0069045F" w:rsidRPr="0064650E" w:rsidRDefault="0064650E" w:rsidP="0064650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4650E">
        <w:rPr>
          <w:rFonts w:ascii="Times New Roman" w:hAnsi="Times New Roman" w:cs="Times New Roman"/>
        </w:rPr>
        <w:t xml:space="preserve">La ausencia de una tarifa de envío basada en </w:t>
      </w:r>
      <w:r w:rsidRPr="0064650E">
        <w:rPr>
          <w:rFonts w:ascii="Times New Roman" w:hAnsi="Times New Roman" w:cs="Times New Roman"/>
          <w:b/>
          <w:bCs/>
        </w:rPr>
        <w:t>peso volumétrico</w:t>
      </w:r>
      <w:r w:rsidRPr="0064650E">
        <w:rPr>
          <w:rFonts w:ascii="Times New Roman" w:hAnsi="Times New Roman" w:cs="Times New Roman"/>
        </w:rPr>
        <w:t xml:space="preserve"> y </w:t>
      </w:r>
      <w:r w:rsidRPr="0064650E">
        <w:rPr>
          <w:rFonts w:ascii="Times New Roman" w:hAnsi="Times New Roman" w:cs="Times New Roman"/>
          <w:b/>
          <w:bCs/>
        </w:rPr>
        <w:t>distancia geográfica</w:t>
      </w:r>
      <w:r w:rsidRPr="0064650E">
        <w:rPr>
          <w:rFonts w:ascii="Times New Roman" w:hAnsi="Times New Roman" w:cs="Times New Roman"/>
        </w:rPr>
        <w:t xml:space="preserve"> provoca que las categorías de alto margen (tecnología ligera) subsidien el flete de categorías pesadas y de bajo margen (muebles/mesas).</w:t>
      </w:r>
    </w:p>
    <w:sectPr w:rsidR="0069045F" w:rsidRPr="006465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553"/>
    <w:multiLevelType w:val="multilevel"/>
    <w:tmpl w:val="4EEA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52737"/>
    <w:multiLevelType w:val="multilevel"/>
    <w:tmpl w:val="59E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416FE"/>
    <w:multiLevelType w:val="multilevel"/>
    <w:tmpl w:val="9AA8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3313D"/>
    <w:multiLevelType w:val="multilevel"/>
    <w:tmpl w:val="5D80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D2A09"/>
    <w:multiLevelType w:val="multilevel"/>
    <w:tmpl w:val="BA7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103087">
    <w:abstractNumId w:val="1"/>
  </w:num>
  <w:num w:numId="2" w16cid:durableId="863443334">
    <w:abstractNumId w:val="0"/>
  </w:num>
  <w:num w:numId="3" w16cid:durableId="1191530196">
    <w:abstractNumId w:val="4"/>
  </w:num>
  <w:num w:numId="4" w16cid:durableId="633215158">
    <w:abstractNumId w:val="3"/>
  </w:num>
  <w:num w:numId="5" w16cid:durableId="158291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0E"/>
    <w:rsid w:val="003F5857"/>
    <w:rsid w:val="006216DE"/>
    <w:rsid w:val="0064650E"/>
    <w:rsid w:val="0069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34C00F"/>
  <w15:chartTrackingRefBased/>
  <w15:docId w15:val="{8F9774E4-7479-4409-9546-EDB05ACE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5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5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5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5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5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5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5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5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5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5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545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Zadquiel Nieves</dc:creator>
  <cp:keywords/>
  <dc:description/>
  <cp:lastModifiedBy>Zadquiel Nieves</cp:lastModifiedBy>
  <cp:revision>1</cp:revision>
  <dcterms:created xsi:type="dcterms:W3CDTF">2026-07-28T23:17:00Z</dcterms:created>
  <dcterms:modified xsi:type="dcterms:W3CDTF">2026-07-28T23:20:00Z</dcterms:modified>
</cp:coreProperties>
</file>