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D10A2" w14:textId="65B5DC8B" w:rsidR="009C5433" w:rsidRDefault="005124DD">
      <w:r w:rsidRPr="005124DD">
        <w:t>The Evolving Landscape of AI in the Workplace: Adoption, Trust, and Unsanctioned Use</w:t>
      </w:r>
    </w:p>
    <w:p w14:paraId="68BEC953" w14:textId="77777777" w:rsidR="005124DD" w:rsidRPr="005124DD" w:rsidRDefault="005124DD" w:rsidP="005124DD">
      <w:pPr>
        <w:rPr>
          <w:lang w:val="en-PK"/>
        </w:rPr>
      </w:pPr>
      <w:r w:rsidRPr="005124DD">
        <w:rPr>
          <w:lang w:val="en-PK"/>
        </w:rPr>
        <w:t>As of August 22, 2025, artificial intelligence continues to reshape the corporate landscape, but its integration presents a complex picture. This newsletter explores three critical facets of AI adoption: the nuanced reality of enterprise-level deployment, the significant trust gap emerging within the workforce, and the challenges and opportunities presented by the rise of a 'shadow AI economy' driven by employee ingenuity. Understanding these dynamics is crucial for organizations aiming to harness AI's full potential effectively and responsibly.</w:t>
      </w:r>
    </w:p>
    <w:p w14:paraId="7A3E53DC" w14:textId="77777777" w:rsidR="005124DD" w:rsidRPr="005124DD" w:rsidRDefault="005124DD" w:rsidP="005124DD">
      <w:pPr>
        <w:rPr>
          <w:b/>
          <w:bCs/>
          <w:lang w:val="en-PK"/>
        </w:rPr>
      </w:pPr>
      <w:r w:rsidRPr="005124DD">
        <w:rPr>
          <w:b/>
          <w:bCs/>
          <w:lang w:val="en-PK"/>
        </w:rPr>
        <w:t>The Reality of AI Adoption: From Experimentation to Enterprise Integration</w:t>
      </w:r>
    </w:p>
    <w:p w14:paraId="44240F8A" w14:textId="77777777" w:rsidR="005124DD" w:rsidRPr="005124DD" w:rsidRDefault="005124DD" w:rsidP="005124DD">
      <w:pPr>
        <w:rPr>
          <w:lang w:val="en-PK"/>
        </w:rPr>
      </w:pPr>
      <w:r w:rsidRPr="005124DD">
        <w:rPr>
          <w:lang w:val="en-PK"/>
        </w:rPr>
        <w:t>While headlines suggest widespread AI integration, the reality on the ground is more nuanced. Although 78% of global organizations report using some form of AI, deep, production-level adoption of generative AI remains in its early stages. A recent US survey found that only 9.3% of companies have used generative AI in production workflows, indicating a significant gap between initial experimentation and strategic implementation </w:t>
      </w:r>
      <w:hyperlink r:id="rId5" w:tgtFrame="_blank" w:history="1">
        <w:r w:rsidRPr="005124DD">
          <w:rPr>
            <w:rStyle w:val="Hyperlink"/>
            <w:lang w:val="en-PK"/>
          </w:rPr>
          <w:t>Source</w:t>
        </w:r>
      </w:hyperlink>
      <w:r w:rsidRPr="005124DD">
        <w:rPr>
          <w:lang w:val="en-PK"/>
        </w:rPr>
        <w:t>.</w:t>
      </w:r>
    </w:p>
    <w:p w14:paraId="3674FB46" w14:textId="77777777" w:rsidR="005124DD" w:rsidRPr="005124DD" w:rsidRDefault="005124DD" w:rsidP="005124DD">
      <w:pPr>
        <w:rPr>
          <w:lang w:val="en-PK"/>
        </w:rPr>
      </w:pPr>
      <w:r w:rsidRPr="005124DD">
        <w:rPr>
          <w:lang w:val="en-PK"/>
        </w:rPr>
        <w:t xml:space="preserve">The landscape of AI adoption is not uniform; it varies significantly by age, professional role, and strategic focus. A notable trend is the evolution from using AI as a simple content generator to deploying it as an autonomous agent. "Agentic AI" refers to systems designed to </w:t>
      </w:r>
      <w:proofErr w:type="gramStart"/>
      <w:r w:rsidRPr="005124DD">
        <w:rPr>
          <w:lang w:val="en-PK"/>
        </w:rPr>
        <w:t>take action</w:t>
      </w:r>
      <w:proofErr w:type="gramEnd"/>
      <w:r w:rsidRPr="005124DD">
        <w:rPr>
          <w:lang w:val="en-PK"/>
        </w:rPr>
        <w:t xml:space="preserve"> and handle complex tasks with minimal human input. This shift is rapidly gaining momentum, with 85% of organizations already integrating AI agents into at least one workflow </w:t>
      </w:r>
      <w:hyperlink r:id="rId6" w:tgtFrame="_blank" w:history="1">
        <w:r w:rsidRPr="005124DD">
          <w:rPr>
            <w:rStyle w:val="Hyperlink"/>
            <w:lang w:val="en-PK"/>
          </w:rPr>
          <w:t>Source</w:t>
        </w:r>
      </w:hyperlink>
      <w:r w:rsidRPr="005124DD">
        <w:rPr>
          <w:lang w:val="en-PK"/>
        </w:rPr>
        <w:t>. This move is forcing a strategic rethink, as 78% of executives now believe their digital ecosystems must be architected for AI agents as much as for human users </w:t>
      </w:r>
      <w:hyperlink r:id="rId7" w:tgtFrame="_blank" w:history="1">
        <w:r w:rsidRPr="005124DD">
          <w:rPr>
            <w:rStyle w:val="Hyperlink"/>
            <w:lang w:val="en-PK"/>
          </w:rPr>
          <w:t>Source</w:t>
        </w:r>
      </w:hyperlink>
      <w:r w:rsidRPr="005124DD">
        <w:rPr>
          <w:lang w:val="en-PK"/>
        </w:rPr>
        <w:t>.</w:t>
      </w:r>
    </w:p>
    <w:p w14:paraId="40D8739D" w14:textId="77777777" w:rsidR="005124DD" w:rsidRPr="005124DD" w:rsidRDefault="005124DD" w:rsidP="005124DD">
      <w:pPr>
        <w:rPr>
          <w:lang w:val="en-PK"/>
        </w:rPr>
      </w:pPr>
      <w:r w:rsidRPr="005124DD">
        <w:rPr>
          <w:lang w:val="en-PK"/>
        </w:rPr>
        <w:t>A clear generational and professional divide is emerging. While Millennials are becoming strategic users, older, more senior professionals show significant hesitation. For instance, an estimated 80% of senior data engineers from the Baby Boomer generation have not used generative AI in their work </w:t>
      </w:r>
      <w:hyperlink r:id="rId8" w:tgtFrame="_blank" w:history="1">
        <w:r w:rsidRPr="005124DD">
          <w:rPr>
            <w:rStyle w:val="Hyperlink"/>
            <w:lang w:val="en-PK"/>
          </w:rPr>
          <w:t>Source</w:t>
        </w:r>
      </w:hyperlink>
      <w:r w:rsidRPr="005124DD">
        <w:rPr>
          <w:lang w:val="en-PK"/>
        </w:rPr>
        <w:t>. Adoption rates and tool choices are also highly dependent on the profession; data engineers embrace tools like GitHub Copilot and ChatGPT, while professions like law show much lower adoption due to concerns over accuracy and regulation.</w:t>
      </w:r>
    </w:p>
    <w:p w14:paraId="4AD816F1" w14:textId="77777777" w:rsidR="005124DD" w:rsidRPr="005124DD" w:rsidRDefault="005124DD" w:rsidP="005124DD">
      <w:pPr>
        <w:rPr>
          <w:lang w:val="en-PK"/>
        </w:rPr>
      </w:pPr>
      <w:r w:rsidRPr="005124DD">
        <w:rPr>
          <w:lang w:val="en-PK"/>
        </w:rPr>
        <w:t>As organizations move from pilot projects to full-scale deployment, the focus is shifting to governance and control. A majority of enterprises (51%) now use two or more methods—such as APIs, dashboards, and human review—to manage their AI agents, underscoring that successful adoption requires robust frameworks for safe and reliable integration </w:t>
      </w:r>
      <w:hyperlink r:id="rId9" w:tgtFrame="_blank" w:history="1">
        <w:r w:rsidRPr="005124DD">
          <w:rPr>
            <w:rStyle w:val="Hyperlink"/>
            <w:lang w:val="en-PK"/>
          </w:rPr>
          <w:t>Source</w:t>
        </w:r>
      </w:hyperlink>
      <w:r w:rsidRPr="005124DD">
        <w:rPr>
          <w:lang w:val="en-PK"/>
        </w:rPr>
        <w:t>.</w:t>
      </w:r>
    </w:p>
    <w:p w14:paraId="5EF4EB46" w14:textId="77777777" w:rsidR="005124DD" w:rsidRPr="005124DD" w:rsidRDefault="005124DD" w:rsidP="005124DD">
      <w:pPr>
        <w:rPr>
          <w:b/>
          <w:bCs/>
          <w:lang w:val="en-PK"/>
        </w:rPr>
      </w:pPr>
      <w:r w:rsidRPr="005124DD">
        <w:rPr>
          <w:b/>
          <w:bCs/>
          <w:lang w:val="en-PK"/>
        </w:rPr>
        <w:t>The Great Hesitation: Bridging the Workforce Trust Gap</w:t>
      </w:r>
    </w:p>
    <w:p w14:paraId="74F2C075" w14:textId="77777777" w:rsidR="005124DD" w:rsidRPr="005124DD" w:rsidRDefault="005124DD" w:rsidP="005124DD">
      <w:pPr>
        <w:rPr>
          <w:lang w:val="en-PK"/>
        </w:rPr>
      </w:pPr>
      <w:r w:rsidRPr="005124DD">
        <w:rPr>
          <w:lang w:val="en-PK"/>
        </w:rPr>
        <w:lastRenderedPageBreak/>
        <w:t>A pervasive sense of hesitation is defining the modern workforce, extending beyond typical economic jitters. While leaders are keen to push forward with new technologies, employees are pumping the brakes, creating a significant disconnect. This caution is most apparent in the adoption of artificial intelligence.</w:t>
      </w:r>
    </w:p>
    <w:p w14:paraId="1FCE3527" w14:textId="77777777" w:rsidR="005124DD" w:rsidRPr="005124DD" w:rsidRDefault="005124DD" w:rsidP="005124DD">
      <w:pPr>
        <w:rPr>
          <w:lang w:val="en-PK"/>
        </w:rPr>
      </w:pPr>
      <w:r w:rsidRPr="005124DD">
        <w:rPr>
          <w:lang w:val="en-PK"/>
        </w:rPr>
        <w:t>A stark optimism gap exists between employers and employees regarding AI. A recent survey revealed that while 75% of employers trust AI to provide benefits recommendations, only 35% of employees share that confidence </w:t>
      </w:r>
      <w:hyperlink r:id="rId10" w:tgtFrame="_blank" w:history="1">
        <w:r w:rsidRPr="005124DD">
          <w:rPr>
            <w:rStyle w:val="Hyperlink"/>
            <w:lang w:val="en-PK"/>
          </w:rPr>
          <w:t>Source</w:t>
        </w:r>
      </w:hyperlink>
      <w:r w:rsidRPr="005124DD">
        <w:rPr>
          <w:lang w:val="en-PK"/>
        </w:rPr>
        <w:t>. This is part of a broader trend: 70% of employers feel more optimistic about AI this year, compared to just under 30% of employees </w:t>
      </w:r>
      <w:hyperlink r:id="rId11" w:tgtFrame="_blank" w:history="1">
        <w:r w:rsidRPr="005124DD">
          <w:rPr>
            <w:rStyle w:val="Hyperlink"/>
            <w:lang w:val="en-PK"/>
          </w:rPr>
          <w:t>Source</w:t>
        </w:r>
      </w:hyperlink>
      <w:r w:rsidRPr="005124DD">
        <w:rPr>
          <w:lang w:val="en-PK"/>
        </w:rPr>
        <w:t>.</w:t>
      </w:r>
    </w:p>
    <w:p w14:paraId="44D9DB54" w14:textId="77777777" w:rsidR="005124DD" w:rsidRPr="005124DD" w:rsidRDefault="005124DD" w:rsidP="005124DD">
      <w:pPr>
        <w:rPr>
          <w:lang w:val="en-PK"/>
        </w:rPr>
      </w:pPr>
      <w:r w:rsidRPr="005124DD">
        <w:rPr>
          <w:lang w:val="en-PK"/>
        </w:rPr>
        <w:t xml:space="preserve">Employee </w:t>
      </w:r>
      <w:proofErr w:type="spellStart"/>
      <w:r w:rsidRPr="005124DD">
        <w:rPr>
          <w:lang w:val="en-PK"/>
        </w:rPr>
        <w:t>skepticism</w:t>
      </w:r>
      <w:proofErr w:type="spellEnd"/>
      <w:r w:rsidRPr="005124DD">
        <w:rPr>
          <w:lang w:val="en-PK"/>
        </w:rPr>
        <w:t xml:space="preserve"> is a major barrier to implementation. In a separate study on AI adoption in New Zealand, 31% of organizations cited staff resistance as a key challenge, </w:t>
      </w:r>
      <w:proofErr w:type="spellStart"/>
      <w:r w:rsidRPr="005124DD">
        <w:rPr>
          <w:lang w:val="en-PK"/>
        </w:rPr>
        <w:t>fueled</w:t>
      </w:r>
      <w:proofErr w:type="spellEnd"/>
      <w:r w:rsidRPr="005124DD">
        <w:rPr>
          <w:lang w:val="en-PK"/>
        </w:rPr>
        <w:t xml:space="preserve"> by fears of job displacement and a lack of clear policies </w:t>
      </w:r>
      <w:hyperlink r:id="rId12" w:tgtFrame="_blank" w:history="1">
        <w:r w:rsidRPr="005124DD">
          <w:rPr>
            <w:rStyle w:val="Hyperlink"/>
            <w:lang w:val="en-PK"/>
          </w:rPr>
          <w:t>Source</w:t>
        </w:r>
      </w:hyperlink>
      <w:r w:rsidRPr="005124DD">
        <w:rPr>
          <w:lang w:val="en-PK"/>
        </w:rPr>
        <w:t>. This hesitancy isn't limited to technology; broader economic uncertainty also contributes to a cautious corporate stance, reinforcing apprehension. To move forward, leaders must address this trust deficit directly through transparent communication, robust training programs, and clear governance, transforming employee hesitation into informed and confident engagement.</w:t>
      </w:r>
    </w:p>
    <w:p w14:paraId="74C00E43" w14:textId="77777777" w:rsidR="005124DD" w:rsidRPr="005124DD" w:rsidRDefault="005124DD" w:rsidP="005124DD">
      <w:pPr>
        <w:rPr>
          <w:b/>
          <w:bCs/>
          <w:lang w:val="en-PK"/>
        </w:rPr>
      </w:pPr>
      <w:r w:rsidRPr="005124DD">
        <w:rPr>
          <w:b/>
          <w:bCs/>
          <w:lang w:val="en-PK"/>
        </w:rPr>
        <w:t>Navigating the Shadow AI Economy</w:t>
      </w:r>
    </w:p>
    <w:p w14:paraId="06F01E00" w14:textId="77777777" w:rsidR="005124DD" w:rsidRPr="005124DD" w:rsidRDefault="005124DD" w:rsidP="005124DD">
      <w:pPr>
        <w:rPr>
          <w:lang w:val="en-PK"/>
        </w:rPr>
      </w:pPr>
      <w:r w:rsidRPr="005124DD">
        <w:rPr>
          <w:lang w:val="en-PK"/>
        </w:rPr>
        <w:t>While many organizations meticulously plan large-scale AI deployments, a powerful, unsanctioned "shadow AI economy" is already thriving within their walls. This phenomenon refers to employees using unapproved, consumer-grade AI tools—such as personal ChatGPT or Claude subscriptions—to perform daily work tasks, often without IT department knowledge or approval.</w:t>
      </w:r>
    </w:p>
    <w:p w14:paraId="44BB8AA4" w14:textId="77777777" w:rsidR="005124DD" w:rsidRPr="005124DD" w:rsidRDefault="005124DD" w:rsidP="005124DD">
      <w:pPr>
        <w:rPr>
          <w:lang w:val="en-PK"/>
        </w:rPr>
      </w:pPr>
      <w:r w:rsidRPr="005124DD">
        <w:rPr>
          <w:lang w:val="en-PK"/>
        </w:rPr>
        <w:t>The scale of this trend is significant. A study from MIT reveals a stark disconnect: while 95% of companies report zero bottom-line impact from their formal AI projects, workers at over 90% of organizations are regularly using personal AI tools to boost their productivity </w:t>
      </w:r>
      <w:hyperlink r:id="rId13" w:tgtFrame="_blank" w:history="1">
        <w:r w:rsidRPr="005124DD">
          <w:rPr>
            <w:rStyle w:val="Hyperlink"/>
            <w:lang w:val="en-PK"/>
          </w:rPr>
          <w:t>Source</w:t>
        </w:r>
      </w:hyperlink>
      <w:r w:rsidRPr="005124DD">
        <w:rPr>
          <w:lang w:val="en-PK"/>
        </w:rPr>
        <w:t>. Employees turn to these tools for their immediate utility, flexibility, and ease of use, bypassing slower corporate solutions.</w:t>
      </w:r>
    </w:p>
    <w:p w14:paraId="69C28899" w14:textId="77777777" w:rsidR="005124DD" w:rsidRPr="005124DD" w:rsidRDefault="005124DD" w:rsidP="005124DD">
      <w:pPr>
        <w:rPr>
          <w:lang w:val="en-PK"/>
        </w:rPr>
      </w:pPr>
      <w:r w:rsidRPr="005124DD">
        <w:rPr>
          <w:lang w:val="en-PK"/>
        </w:rPr>
        <w:t>However, this grassroots innovation introduces substantial risks:</w:t>
      </w:r>
    </w:p>
    <w:p w14:paraId="66FF394F" w14:textId="77777777" w:rsidR="005124DD" w:rsidRPr="005124DD" w:rsidRDefault="005124DD" w:rsidP="005124DD">
      <w:pPr>
        <w:numPr>
          <w:ilvl w:val="0"/>
          <w:numId w:val="1"/>
        </w:numPr>
        <w:rPr>
          <w:lang w:val="en-PK"/>
        </w:rPr>
      </w:pPr>
      <w:r w:rsidRPr="005124DD">
        <w:rPr>
          <w:b/>
          <w:bCs/>
          <w:lang w:val="en-PK"/>
        </w:rPr>
        <w:t>Data Security:</w:t>
      </w:r>
      <w:r w:rsidRPr="005124DD">
        <w:rPr>
          <w:lang w:val="en-PK"/>
        </w:rPr>
        <w:t> Feeding proprietary or sensitive company information into public AI models can lead to serious data leaks and compromise intellectual property.</w:t>
      </w:r>
    </w:p>
    <w:p w14:paraId="684682D5" w14:textId="77777777" w:rsidR="005124DD" w:rsidRPr="005124DD" w:rsidRDefault="005124DD" w:rsidP="005124DD">
      <w:pPr>
        <w:numPr>
          <w:ilvl w:val="0"/>
          <w:numId w:val="1"/>
        </w:numPr>
        <w:rPr>
          <w:lang w:val="en-PK"/>
        </w:rPr>
      </w:pPr>
      <w:r w:rsidRPr="005124DD">
        <w:rPr>
          <w:b/>
          <w:bCs/>
          <w:lang w:val="en-PK"/>
        </w:rPr>
        <w:t>Compliance Violations:</w:t>
      </w:r>
      <w:r w:rsidRPr="005124DD">
        <w:rPr>
          <w:lang w:val="en-PK"/>
        </w:rPr>
        <w:t xml:space="preserve"> Unauthorized use of AI can breach privacy regulations like </w:t>
      </w:r>
      <w:proofErr w:type="gramStart"/>
      <w:r w:rsidRPr="005124DD">
        <w:rPr>
          <w:lang w:val="en-PK"/>
        </w:rPr>
        <w:t>GDPR</w:t>
      </w:r>
      <w:proofErr w:type="gramEnd"/>
      <w:r w:rsidRPr="005124DD">
        <w:rPr>
          <w:lang w:val="en-PK"/>
        </w:rPr>
        <w:t xml:space="preserve"> and bypass established data governance frameworks.</w:t>
      </w:r>
    </w:p>
    <w:p w14:paraId="74161E3C" w14:textId="77777777" w:rsidR="005124DD" w:rsidRPr="005124DD" w:rsidRDefault="005124DD" w:rsidP="005124DD">
      <w:pPr>
        <w:numPr>
          <w:ilvl w:val="0"/>
          <w:numId w:val="1"/>
        </w:numPr>
        <w:rPr>
          <w:lang w:val="en-PK"/>
        </w:rPr>
      </w:pPr>
      <w:r w:rsidRPr="005124DD">
        <w:rPr>
          <w:b/>
          <w:bCs/>
          <w:lang w:val="en-PK"/>
        </w:rPr>
        <w:t>Lack of Oversight:</w:t>
      </w:r>
      <w:r w:rsidRPr="005124DD">
        <w:rPr>
          <w:lang w:val="en-PK"/>
        </w:rPr>
        <w:t> Without visibility into which tools are used, companies lose control over data quality, accuracy, and security protocols.</w:t>
      </w:r>
    </w:p>
    <w:p w14:paraId="0F92E37A" w14:textId="77777777" w:rsidR="005124DD" w:rsidRPr="005124DD" w:rsidRDefault="005124DD" w:rsidP="005124DD">
      <w:pPr>
        <w:rPr>
          <w:lang w:val="en-PK"/>
        </w:rPr>
      </w:pPr>
      <w:r w:rsidRPr="005124DD">
        <w:rPr>
          <w:lang w:val="en-PK"/>
        </w:rPr>
        <w:lastRenderedPageBreak/>
        <w:t>Despite these challenges, viewing shadow AI as merely a compliance issue is a missed opportunity. This trend provides invaluable data on where AI can deliver the most significant value, highlighting employee pain points and effective solutions. Rather than simply prohibiting these tools, leaders should see this as a signal to bridge the gap between employee needs and official IT strategy. The rise of the shadow AI economy represents both a critical governance challenge and a major strategic opportunity to guide and harness innovation effectively </w:t>
      </w:r>
      <w:hyperlink r:id="rId14" w:tgtFrame="_blank" w:history="1">
        <w:r w:rsidRPr="005124DD">
          <w:rPr>
            <w:rStyle w:val="Hyperlink"/>
            <w:lang w:val="en-PK"/>
          </w:rPr>
          <w:t>Source</w:t>
        </w:r>
      </w:hyperlink>
      <w:r w:rsidRPr="005124DD">
        <w:rPr>
          <w:lang w:val="en-PK"/>
        </w:rPr>
        <w:t>.</w:t>
      </w:r>
    </w:p>
    <w:p w14:paraId="112D8695" w14:textId="77777777" w:rsidR="005124DD" w:rsidRPr="005124DD" w:rsidRDefault="005124DD" w:rsidP="005124DD">
      <w:pPr>
        <w:rPr>
          <w:b/>
          <w:bCs/>
          <w:lang w:val="en-PK"/>
        </w:rPr>
      </w:pPr>
      <w:r w:rsidRPr="005124DD">
        <w:rPr>
          <w:b/>
          <w:bCs/>
          <w:lang w:val="en-PK"/>
        </w:rPr>
        <w:t>Sources</w:t>
      </w:r>
    </w:p>
    <w:p w14:paraId="1A90ABA4" w14:textId="77777777" w:rsidR="005124DD" w:rsidRPr="005124DD" w:rsidRDefault="005124DD" w:rsidP="005124DD">
      <w:pPr>
        <w:numPr>
          <w:ilvl w:val="0"/>
          <w:numId w:val="2"/>
        </w:numPr>
        <w:rPr>
          <w:lang w:val="en-PK"/>
        </w:rPr>
      </w:pPr>
      <w:hyperlink r:id="rId15" w:tgtFrame="_blank" w:history="1">
        <w:r w:rsidRPr="005124DD">
          <w:rPr>
            <w:rStyle w:val="Hyperlink"/>
            <w:lang w:val="en-PK"/>
          </w:rPr>
          <w:t>Artificial Intelligence News – Generative AI trends 2025: LLMs, data scaling, enterprise adoption</w:t>
        </w:r>
      </w:hyperlink>
    </w:p>
    <w:p w14:paraId="3B157E2E" w14:textId="77777777" w:rsidR="005124DD" w:rsidRPr="005124DD" w:rsidRDefault="005124DD" w:rsidP="005124DD">
      <w:pPr>
        <w:numPr>
          <w:ilvl w:val="0"/>
          <w:numId w:val="2"/>
        </w:numPr>
        <w:rPr>
          <w:lang w:val="en-PK"/>
        </w:rPr>
      </w:pPr>
      <w:hyperlink r:id="rId16" w:tgtFrame="_blank" w:history="1">
        <w:proofErr w:type="spellStart"/>
        <w:proofErr w:type="gramStart"/>
        <w:r w:rsidRPr="005124DD">
          <w:rPr>
            <w:rStyle w:val="Hyperlink"/>
            <w:lang w:val="en-PK"/>
          </w:rPr>
          <w:t>datapro.news</w:t>
        </w:r>
        <w:proofErr w:type="spellEnd"/>
        <w:proofErr w:type="gramEnd"/>
        <w:r w:rsidRPr="005124DD">
          <w:rPr>
            <w:rStyle w:val="Hyperlink"/>
            <w:lang w:val="en-PK"/>
          </w:rPr>
          <w:t xml:space="preserve"> – ChatGPT and Copilot lead the charge: An investigation into the generational and professional divide</w:t>
        </w:r>
      </w:hyperlink>
    </w:p>
    <w:p w14:paraId="42968F1D" w14:textId="77777777" w:rsidR="005124DD" w:rsidRPr="005124DD" w:rsidRDefault="005124DD" w:rsidP="005124DD">
      <w:pPr>
        <w:numPr>
          <w:ilvl w:val="0"/>
          <w:numId w:val="2"/>
        </w:numPr>
        <w:rPr>
          <w:lang w:val="en-PK"/>
        </w:rPr>
      </w:pPr>
      <w:hyperlink r:id="rId17" w:tgtFrame="_blank" w:history="1">
        <w:r w:rsidRPr="005124DD">
          <w:rPr>
            <w:rStyle w:val="Hyperlink"/>
            <w:lang w:val="en-PK"/>
          </w:rPr>
          <w:t>Goldman Sachs – How will AI affect the global workforce?</w:t>
        </w:r>
      </w:hyperlink>
    </w:p>
    <w:p w14:paraId="24FD34A9" w14:textId="77777777" w:rsidR="005124DD" w:rsidRPr="005124DD" w:rsidRDefault="005124DD" w:rsidP="005124DD">
      <w:pPr>
        <w:numPr>
          <w:ilvl w:val="0"/>
          <w:numId w:val="2"/>
        </w:numPr>
        <w:rPr>
          <w:lang w:val="en-PK"/>
        </w:rPr>
      </w:pPr>
      <w:hyperlink r:id="rId18" w:tgtFrame="_blank" w:history="1">
        <w:r w:rsidRPr="005124DD">
          <w:rPr>
            <w:rStyle w:val="Hyperlink"/>
            <w:lang w:val="en-PK"/>
          </w:rPr>
          <w:t>HCA Mag – AI adoption surges but workforce hesitation remains</w:t>
        </w:r>
      </w:hyperlink>
    </w:p>
    <w:p w14:paraId="20DA0B2B" w14:textId="77777777" w:rsidR="005124DD" w:rsidRPr="005124DD" w:rsidRDefault="005124DD" w:rsidP="005124DD">
      <w:pPr>
        <w:numPr>
          <w:ilvl w:val="0"/>
          <w:numId w:val="2"/>
        </w:numPr>
        <w:rPr>
          <w:lang w:val="en-PK"/>
        </w:rPr>
      </w:pPr>
      <w:hyperlink r:id="rId19" w:tgtFrame="_blank" w:history="1">
        <w:r w:rsidRPr="005124DD">
          <w:rPr>
            <w:rStyle w:val="Hyperlink"/>
            <w:lang w:val="en-PK"/>
          </w:rPr>
          <w:t>HR Tech Feed – AI for benefits decision-making: what to do about employee hesitation</w:t>
        </w:r>
      </w:hyperlink>
    </w:p>
    <w:p w14:paraId="67EB26F1" w14:textId="77777777" w:rsidR="005124DD" w:rsidRPr="005124DD" w:rsidRDefault="005124DD" w:rsidP="005124DD">
      <w:pPr>
        <w:numPr>
          <w:ilvl w:val="0"/>
          <w:numId w:val="2"/>
        </w:numPr>
        <w:rPr>
          <w:lang w:val="en-PK"/>
        </w:rPr>
      </w:pPr>
      <w:hyperlink r:id="rId20" w:tgtFrame="_blank" w:history="1">
        <w:r w:rsidRPr="005124DD">
          <w:rPr>
            <w:rStyle w:val="Hyperlink"/>
            <w:lang w:val="en-PK"/>
          </w:rPr>
          <w:t>IDM Magazine – Shadow AI economy bypasses IT governance</w:t>
        </w:r>
      </w:hyperlink>
    </w:p>
    <w:p w14:paraId="4341DFD7" w14:textId="77777777" w:rsidR="005124DD" w:rsidRPr="005124DD" w:rsidRDefault="005124DD" w:rsidP="005124DD">
      <w:pPr>
        <w:numPr>
          <w:ilvl w:val="0"/>
          <w:numId w:val="2"/>
        </w:numPr>
        <w:rPr>
          <w:lang w:val="en-PK"/>
        </w:rPr>
      </w:pPr>
      <w:hyperlink r:id="rId21" w:tgtFrame="_blank" w:history="1">
        <w:proofErr w:type="spellStart"/>
        <w:r w:rsidRPr="005124DD">
          <w:rPr>
            <w:rStyle w:val="Hyperlink"/>
            <w:lang w:val="en-PK"/>
          </w:rPr>
          <w:t>Index.dev</w:t>
        </w:r>
        <w:proofErr w:type="spellEnd"/>
        <w:r w:rsidRPr="005124DD">
          <w:rPr>
            <w:rStyle w:val="Hyperlink"/>
            <w:lang w:val="en-PK"/>
          </w:rPr>
          <w:t xml:space="preserve"> – AI Agents Statistics</w:t>
        </w:r>
      </w:hyperlink>
    </w:p>
    <w:p w14:paraId="51351159" w14:textId="77777777" w:rsidR="005124DD" w:rsidRPr="005124DD" w:rsidRDefault="005124DD" w:rsidP="005124DD">
      <w:pPr>
        <w:numPr>
          <w:ilvl w:val="0"/>
          <w:numId w:val="2"/>
        </w:numPr>
        <w:rPr>
          <w:lang w:val="en-PK"/>
        </w:rPr>
      </w:pPr>
      <w:hyperlink r:id="rId22" w:tgtFrame="_blank" w:history="1">
        <w:r w:rsidRPr="005124DD">
          <w:rPr>
            <w:rStyle w:val="Hyperlink"/>
            <w:lang w:val="en-PK"/>
          </w:rPr>
          <w:t xml:space="preserve">LinkedIn (Alex </w:t>
        </w:r>
        <w:proofErr w:type="spellStart"/>
        <w:r w:rsidRPr="005124DD">
          <w:rPr>
            <w:rStyle w:val="Hyperlink"/>
            <w:lang w:val="en-PK"/>
          </w:rPr>
          <w:t>Velinov</w:t>
        </w:r>
        <w:proofErr w:type="spellEnd"/>
        <w:r w:rsidRPr="005124DD">
          <w:rPr>
            <w:rStyle w:val="Hyperlink"/>
            <w:lang w:val="en-PK"/>
          </w:rPr>
          <w:t>) – Shadow AI: Balancing Innovation and Risk in the Workplace</w:t>
        </w:r>
      </w:hyperlink>
    </w:p>
    <w:p w14:paraId="7BE75FCA" w14:textId="77777777" w:rsidR="005124DD" w:rsidRPr="005124DD" w:rsidRDefault="005124DD" w:rsidP="005124DD">
      <w:pPr>
        <w:rPr>
          <w:lang w:val="en-PK"/>
        </w:rPr>
      </w:pPr>
      <w:r w:rsidRPr="005124DD">
        <w:rPr>
          <w:lang w:val="en-PK"/>
        </w:rPr>
        <w:t>The current state of AI in the workplace is characterized by both immense potential and significant challenges. While enterprise integration deepens and agentic AI gains traction, organizations must proactively address the workforce's trust deficit and strategically navigate the burgeoning shadow AI economy. By fostering transparent communication, providing targeted training, establishing robust governance, and leveraging employee-driven innovation, businesses can transform hesitation into confident adoption, ensuring AI serves as a true catalyst for productivity and strategic advantage.</w:t>
      </w:r>
    </w:p>
    <w:p w14:paraId="24D889C2" w14:textId="77777777" w:rsidR="005124DD" w:rsidRPr="005124DD" w:rsidRDefault="005124DD">
      <w:pPr>
        <w:rPr>
          <w:lang w:val="en-PK"/>
        </w:rPr>
      </w:pPr>
    </w:p>
    <w:sectPr w:rsidR="005124DD" w:rsidRPr="00512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4323D"/>
    <w:multiLevelType w:val="multilevel"/>
    <w:tmpl w:val="0D98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45247"/>
    <w:multiLevelType w:val="multilevel"/>
    <w:tmpl w:val="6990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047636">
    <w:abstractNumId w:val="0"/>
  </w:num>
  <w:num w:numId="2" w16cid:durableId="1938554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AA"/>
    <w:rsid w:val="001A75BE"/>
    <w:rsid w:val="005124DD"/>
    <w:rsid w:val="00932DAA"/>
    <w:rsid w:val="009C5433"/>
    <w:rsid w:val="00A46DC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B790"/>
  <w15:chartTrackingRefBased/>
  <w15:docId w15:val="{4C19A1D6-DF58-4F83-AF4A-11FB4465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DAA"/>
    <w:rPr>
      <w:rFonts w:eastAsiaTheme="majorEastAsia" w:cstheme="majorBidi"/>
      <w:color w:val="272727" w:themeColor="text1" w:themeTint="D8"/>
    </w:rPr>
  </w:style>
  <w:style w:type="paragraph" w:styleId="Title">
    <w:name w:val="Title"/>
    <w:basedOn w:val="Normal"/>
    <w:next w:val="Normal"/>
    <w:link w:val="TitleChar"/>
    <w:uiPriority w:val="10"/>
    <w:qFormat/>
    <w:rsid w:val="00932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DAA"/>
    <w:pPr>
      <w:spacing w:before="160"/>
      <w:jc w:val="center"/>
    </w:pPr>
    <w:rPr>
      <w:i/>
      <w:iCs/>
      <w:color w:val="404040" w:themeColor="text1" w:themeTint="BF"/>
    </w:rPr>
  </w:style>
  <w:style w:type="character" w:customStyle="1" w:styleId="QuoteChar">
    <w:name w:val="Quote Char"/>
    <w:basedOn w:val="DefaultParagraphFont"/>
    <w:link w:val="Quote"/>
    <w:uiPriority w:val="29"/>
    <w:rsid w:val="00932DAA"/>
    <w:rPr>
      <w:i/>
      <w:iCs/>
      <w:color w:val="404040" w:themeColor="text1" w:themeTint="BF"/>
    </w:rPr>
  </w:style>
  <w:style w:type="paragraph" w:styleId="ListParagraph">
    <w:name w:val="List Paragraph"/>
    <w:basedOn w:val="Normal"/>
    <w:uiPriority w:val="34"/>
    <w:qFormat/>
    <w:rsid w:val="00932DAA"/>
    <w:pPr>
      <w:ind w:left="720"/>
      <w:contextualSpacing/>
    </w:pPr>
  </w:style>
  <w:style w:type="character" w:styleId="IntenseEmphasis">
    <w:name w:val="Intense Emphasis"/>
    <w:basedOn w:val="DefaultParagraphFont"/>
    <w:uiPriority w:val="21"/>
    <w:qFormat/>
    <w:rsid w:val="00932DAA"/>
    <w:rPr>
      <w:i/>
      <w:iCs/>
      <w:color w:val="0F4761" w:themeColor="accent1" w:themeShade="BF"/>
    </w:rPr>
  </w:style>
  <w:style w:type="paragraph" w:styleId="IntenseQuote">
    <w:name w:val="Intense Quote"/>
    <w:basedOn w:val="Normal"/>
    <w:next w:val="Normal"/>
    <w:link w:val="IntenseQuoteChar"/>
    <w:uiPriority w:val="30"/>
    <w:qFormat/>
    <w:rsid w:val="00932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DAA"/>
    <w:rPr>
      <w:i/>
      <w:iCs/>
      <w:color w:val="0F4761" w:themeColor="accent1" w:themeShade="BF"/>
    </w:rPr>
  </w:style>
  <w:style w:type="character" w:styleId="IntenseReference">
    <w:name w:val="Intense Reference"/>
    <w:basedOn w:val="DefaultParagraphFont"/>
    <w:uiPriority w:val="32"/>
    <w:qFormat/>
    <w:rsid w:val="00932DAA"/>
    <w:rPr>
      <w:b/>
      <w:bCs/>
      <w:smallCaps/>
      <w:color w:val="0F4761" w:themeColor="accent1" w:themeShade="BF"/>
      <w:spacing w:val="5"/>
    </w:rPr>
  </w:style>
  <w:style w:type="character" w:styleId="Hyperlink">
    <w:name w:val="Hyperlink"/>
    <w:basedOn w:val="DefaultParagraphFont"/>
    <w:uiPriority w:val="99"/>
    <w:unhideWhenUsed/>
    <w:rsid w:val="005124DD"/>
    <w:rPr>
      <w:color w:val="467886" w:themeColor="hyperlink"/>
      <w:u w:val="single"/>
    </w:rPr>
  </w:style>
  <w:style w:type="character" w:styleId="UnresolvedMention">
    <w:name w:val="Unresolved Mention"/>
    <w:basedOn w:val="DefaultParagraphFont"/>
    <w:uiPriority w:val="99"/>
    <w:semiHidden/>
    <w:unhideWhenUsed/>
    <w:rsid w:val="00512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pro.news/p/chatgpt-and-copilot-lead-the-charge-an-investigation-into-the-generational-and-professional-divide-i" TargetMode="External"/><Relationship Id="rId13" Type="http://schemas.openxmlformats.org/officeDocument/2006/relationships/hyperlink" Target="https://idm.net.au/article/0015294-shadow-ai-economy-bypasses-it-governance-mit" TargetMode="External"/><Relationship Id="rId18" Type="http://schemas.openxmlformats.org/officeDocument/2006/relationships/hyperlink" Target="https://www.hcamag.com/nz/specialisation/hr-technology/ai-adoption-surges-but-workforce-hesitation-remains/546589" TargetMode="External"/><Relationship Id="rId3" Type="http://schemas.openxmlformats.org/officeDocument/2006/relationships/settings" Target="settings.xml"/><Relationship Id="rId21" Type="http://schemas.openxmlformats.org/officeDocument/2006/relationships/hyperlink" Target="https://www.index.dev/blog/ai-agents-statistics" TargetMode="External"/><Relationship Id="rId7" Type="http://schemas.openxmlformats.org/officeDocument/2006/relationships/hyperlink" Target="https://www.artificialintelligence-news.com/news/generative-ai-trends-2025-llms-data-scaling-enterprise-adoption/" TargetMode="External"/><Relationship Id="rId12" Type="http://schemas.openxmlformats.org/officeDocument/2006/relationships/hyperlink" Target="https://www.hcamag.com/nz/specialisation/hr-technology/ai-adoption-surges-but-workforce-hesitation-remains/546589" TargetMode="External"/><Relationship Id="rId17" Type="http://schemas.openxmlformats.org/officeDocument/2006/relationships/hyperlink" Target="https://www.goldmansachs.com/insights/articles/how-will-ai-affect-the-global-workforce" TargetMode="External"/><Relationship Id="rId2" Type="http://schemas.openxmlformats.org/officeDocument/2006/relationships/styles" Target="styles.xml"/><Relationship Id="rId16" Type="http://schemas.openxmlformats.org/officeDocument/2006/relationships/hyperlink" Target="https://www.datapro.news/p/chatgpt-and-copilot-lead-the-charge-an-investigation-into-the-generational-and-professional-divide-i" TargetMode="External"/><Relationship Id="rId20" Type="http://schemas.openxmlformats.org/officeDocument/2006/relationships/hyperlink" Target="https://idm.net.au/article/0015294-shadow-ai-economy-bypasses-it-governance-mit" TargetMode="External"/><Relationship Id="rId1" Type="http://schemas.openxmlformats.org/officeDocument/2006/relationships/numbering" Target="numbering.xml"/><Relationship Id="rId6" Type="http://schemas.openxmlformats.org/officeDocument/2006/relationships/hyperlink" Target="https://www.index.dev/blog/ai-agents-statistics" TargetMode="External"/><Relationship Id="rId11" Type="http://schemas.openxmlformats.org/officeDocument/2006/relationships/hyperlink" Target="https://hrtechfeed.com/ai-for-benefits-decision-making-what-to-do-about-employee-hesitation/" TargetMode="External"/><Relationship Id="rId24" Type="http://schemas.openxmlformats.org/officeDocument/2006/relationships/theme" Target="theme/theme1.xml"/><Relationship Id="rId5" Type="http://schemas.openxmlformats.org/officeDocument/2006/relationships/hyperlink" Target="https://www.goldmansachs.com/insights/articles/how-will-ai-affect-the-global-workforce" TargetMode="External"/><Relationship Id="rId15" Type="http://schemas.openxmlformats.org/officeDocument/2006/relationships/hyperlink" Target="https://www.artificialintelligence-news.com/news/generative-ai-trends-2025-llms-data-scaling-enterprise-adoption/" TargetMode="External"/><Relationship Id="rId23" Type="http://schemas.openxmlformats.org/officeDocument/2006/relationships/fontTable" Target="fontTable.xml"/><Relationship Id="rId10" Type="http://schemas.openxmlformats.org/officeDocument/2006/relationships/hyperlink" Target="https://hrtechfeed.com/ai-for-benefits-decision-making-what-to-do-about-employee-hesitation/" TargetMode="External"/><Relationship Id="rId19" Type="http://schemas.openxmlformats.org/officeDocument/2006/relationships/hyperlink" Target="https://hrtechfeed.com/ai-for-benefits-decision-making-what-to-do-about-employee-hesitation/" TargetMode="External"/><Relationship Id="rId4" Type="http://schemas.openxmlformats.org/officeDocument/2006/relationships/webSettings" Target="webSettings.xml"/><Relationship Id="rId9" Type="http://schemas.openxmlformats.org/officeDocument/2006/relationships/hyperlink" Target="https://www.index.dev/blog/ai-agents-statistics" TargetMode="External"/><Relationship Id="rId14" Type="http://schemas.openxmlformats.org/officeDocument/2006/relationships/hyperlink" Target="https://www.linkedin.com/pulse/shadow-ai-balancing-innovation-risk-workplace-alex-velinov-1ps9e" TargetMode="External"/><Relationship Id="rId22" Type="http://schemas.openxmlformats.org/officeDocument/2006/relationships/hyperlink" Target="https://www.linkedin.com/pulse/shadow-ai-balancing-innovation-risk-workplace-alex-velinov-1ps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CIIT/FA23-BCS-111/WAH MUHAMMAD ZAEEM-UL-HASSAN</dc:creator>
  <cp:keywords/>
  <dc:description/>
  <cp:lastModifiedBy>CIIT/FA23-BCS-111/WAH MUHAMMAD ZAEEM-UL-HASSAN</cp:lastModifiedBy>
  <cp:revision>2</cp:revision>
  <dcterms:created xsi:type="dcterms:W3CDTF">2025-08-21T22:46:00Z</dcterms:created>
  <dcterms:modified xsi:type="dcterms:W3CDTF">2025-08-21T22:47:00Z</dcterms:modified>
</cp:coreProperties>
</file>