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Salon Policies &amp; Terms of 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Welcome to our sanctuary. To ensure every client enjoys a premium, seamless experience, we kindly ask that you review our professional policies.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Punctuality and Appointments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Arrival: Please arrive on time for your scheduled appointment.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Late Arrivals: Arriving late may interfere with your treatment; appointments will conclude at their scheduled time so the next client is not delayed.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 Duration: Specific treatments, such as our Personalized Facial Treatment, are scheduled for set durations (e.g., 40 minutes) to ensure maximum efficacy.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Cancellations and No-Shows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Notice Period: We require at least 12 to 24 hours' notice for all cancellations so we may offer the slot to another client.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Fees: Failure to provide sufficient notice or "no-shows" may result in a cancellation fee or a requirement for a non-refundable deposit for future bookings.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Pricing and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Starting Prices: Many of our services, particularly in the Hair Cuts &amp; Styling section, are marked with a "+" (e.g., Top Stylist Cut at 3700+). This indicates that the final price may vary based on hair length, density, or the complexity of the work.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Stylist Tiers: Prices vary depending on whether you book with a Top Stylist or a Senior Stylist.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Inclusions: All hair cut services conveniently include a professional hair wash.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Fixed Rates: Services like Epilation (Waxing/Threading) and Hand/Feet Wellness (Manicures/Pedicures) have fixed rates based on the area or product used, such as Honey Wax versus Rica Wax.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Health and Safety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Skin Consultations: Our Personalized Treatments are tailored specifically to your skin type to ensure visible rejuvenation and safety.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Medical Disclosures: Clients must disclose any skin sensitivities, allergies, or medical conditions before undergoing intensive treatments like Mild Peels, Pico Laser, or B.B. Glow.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Aesthetics Aftercare: For treatments such as the Age Sumum Facial (10,000), following the provided aftercare is essential to maintain the lifting and rejuvenation results.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Children and Environment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Junior Services: We offer specialized pricing for Girls aged 8 and under (3000+).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Supervision: For safety and to maintain a relaxing atmosphere for all guests, children must be supervised at all times and are generally not permitted in treatment rooms during adult aesthetic procedures.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Atmosphere: We strive to provide a tranquil environment. Please keep mobile devices on silent during your visit.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Right to Refuse Service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reserve the right to refuse service to anyone who is abusive, under the influence, or if a practitioner deems a treatment unsafe for the client’s current skin or hair condition.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Personal Belongings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While we take every care, the salon is not responsible for the loss or damage of personal items. We recommend leaving valuables at home.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