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9"/>
          <w:sz w:val="50"/>
        </w:rPr>
        <w:t>Comparative Review of Three AI-Generated</w:t>
        <w:br/>
        <w:t>Supply Chain Maps for Lucky Cement</w:t>
      </w:r>
    </w:p>
    <w:p>
      <w:pPr>
        <w:jc w:val="center"/>
      </w:pPr>
      <w:r>
        <w:rPr>
          <w:b/>
          <w:color w:val="595959"/>
          <w:sz w:val="30"/>
        </w:rPr>
        <w:t>Claude vs Gemini vs ChatGPT</w:t>
      </w:r>
    </w:p>
    <w:p>
      <w:pPr>
        <w:spacing w:before="400"/>
        <w:jc w:val="center"/>
      </w:pPr>
      <w:r>
        <w:rPr>
          <w:sz w:val="22"/>
        </w:rPr>
        <w:t>Purpose: identify how the three responses vary, where their assumptions differ, and why those differences may have occurred.</w:t>
      </w:r>
    </w:p>
    <w:p>
      <w:pPr>
        <w:spacing w:before="500"/>
        <w:jc w:val="center"/>
      </w:pPr>
      <w:r>
        <w:rPr>
          <w:i/>
          <w:color w:val="595959"/>
          <w:sz w:val="20"/>
        </w:rPr>
        <w:t>Important: all three documents describe their maps as illustrative rather than verified internal Lucky Cement supply-chain data.</w:t>
      </w:r>
    </w:p>
    <w:p>
      <w:r>
        <w:br w:type="page"/>
      </w:r>
    </w:p>
    <w:p>
      <w:pPr>
        <w:pStyle w:val="Heading1"/>
      </w:pPr>
      <w:r>
        <w:t>1. Executive Summary</w:t>
      </w:r>
    </w:p>
    <w:p>
      <w:pPr>
        <w:spacing w:after="140"/>
      </w:pPr>
      <w:r>
        <w:t>The three AI responses are broadly aligned on the fundamental structure of Lucky Cement's cement supply chain. All describe an upstream mineral/fuel network, a five-stage cement manufacturing process, kiln/clinker production as the principal bottleneck, a dealer/retailer-based domestic distribution chain, and reverse information flow from customers toward production planning. The variation appears mainly in the level of specificity, confidence, assumptions, and lead-time estimates rather than in the overall supply-chain logic.</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pPr>
              <w:spacing w:after="0" w:before="0"/>
            </w:pPr>
            <w:r/>
            <w:r>
              <w:rPr>
                <w:rFonts w:ascii="Aptos" w:hAnsi="Aptos"/>
                <w:b/>
                <w:color w:val="FFFFFF"/>
                <w:sz w:val="18"/>
              </w:rPr>
              <w:t>Dimension</w:t>
            </w:r>
          </w:p>
        </w:tc>
        <w:tc>
          <w:tcPr>
            <w:tcW w:type="dxa" w:w="2556"/>
            <w:vAlign w:val="center"/>
            <w:shd w:fill="1F4E78"/>
          </w:tcPr>
          <w:p>
            <w:pPr>
              <w:spacing w:after="0" w:before="0"/>
            </w:pPr>
            <w:r/>
            <w:r>
              <w:rPr>
                <w:rFonts w:ascii="Aptos" w:hAnsi="Aptos"/>
                <w:b/>
                <w:color w:val="FFFFFF"/>
                <w:sz w:val="18"/>
              </w:rPr>
              <w:t>Claude</w:t>
            </w:r>
          </w:p>
        </w:tc>
        <w:tc>
          <w:tcPr>
            <w:tcW w:type="dxa" w:w="2556"/>
            <w:vAlign w:val="center"/>
            <w:shd w:fill="1F4E78"/>
          </w:tcPr>
          <w:p>
            <w:pPr>
              <w:spacing w:after="0" w:before="0"/>
            </w:pPr>
            <w:r/>
            <w:r>
              <w:rPr>
                <w:rFonts w:ascii="Aptos" w:hAnsi="Aptos"/>
                <w:b/>
                <w:color w:val="FFFFFF"/>
                <w:sz w:val="18"/>
              </w:rPr>
              <w:t>Gemini</w:t>
            </w:r>
          </w:p>
        </w:tc>
        <w:tc>
          <w:tcPr>
            <w:tcW w:type="dxa" w:w="2556"/>
            <w:vAlign w:val="center"/>
            <w:shd w:fill="1F4E78"/>
          </w:tcPr>
          <w:p>
            <w:pPr>
              <w:spacing w:after="0" w:before="0"/>
            </w:pPr>
            <w:r/>
            <w:r>
              <w:rPr>
                <w:rFonts w:ascii="Aptos" w:hAnsi="Aptos"/>
                <w:b/>
                <w:color w:val="FFFFFF"/>
                <w:sz w:val="18"/>
              </w:rPr>
              <w:t>ChatGPT</w:t>
            </w:r>
          </w:p>
        </w:tc>
      </w:tr>
      <w:tr>
        <w:tc>
          <w:tcPr>
            <w:tcW w:type="dxa" w:w="2556"/>
            <w:vAlign w:val="center"/>
          </w:tcPr>
          <w:p>
            <w:pPr>
              <w:spacing w:after="0" w:before="0"/>
            </w:pPr>
            <w:r/>
            <w:r>
              <w:rPr>
                <w:rFonts w:ascii="Aptos" w:hAnsi="Aptos"/>
                <w:b w:val="0"/>
                <w:sz w:val="17"/>
              </w:rPr>
              <w:t>Overall style</w:t>
            </w:r>
          </w:p>
        </w:tc>
        <w:tc>
          <w:tcPr>
            <w:tcW w:type="dxa" w:w="2556"/>
            <w:vAlign w:val="center"/>
          </w:tcPr>
          <w:p>
            <w:pPr>
              <w:spacing w:after="0" w:before="0"/>
            </w:pPr>
            <w:r/>
            <w:r>
              <w:rPr>
                <w:rFonts w:ascii="Aptos" w:hAnsi="Aptos"/>
                <w:b w:val="0"/>
                <w:sz w:val="17"/>
              </w:rPr>
              <w:t>Most company-calibrated and fact-specific</w:t>
            </w:r>
          </w:p>
        </w:tc>
        <w:tc>
          <w:tcPr>
            <w:tcW w:type="dxa" w:w="2556"/>
            <w:vAlign w:val="center"/>
          </w:tcPr>
          <w:p>
            <w:pPr>
              <w:spacing w:after="0" w:before="0"/>
            </w:pPr>
            <w:r/>
            <w:r>
              <w:rPr>
                <w:rFonts w:ascii="Aptos" w:hAnsi="Aptos"/>
                <w:b w:val="0"/>
                <w:sz w:val="17"/>
              </w:rPr>
              <w:t>Most operational and simplified</w:t>
            </w:r>
          </w:p>
        </w:tc>
        <w:tc>
          <w:tcPr>
            <w:tcW w:type="dxa" w:w="2556"/>
            <w:vAlign w:val="center"/>
          </w:tcPr>
          <w:p>
            <w:pPr>
              <w:spacing w:after="0" w:before="0"/>
            </w:pPr>
            <w:r/>
            <w:r>
              <w:rPr>
                <w:rFonts w:ascii="Aptos" w:hAnsi="Aptos"/>
                <w:b w:val="0"/>
                <w:sz w:val="17"/>
              </w:rPr>
              <w:t>Most cautious, structured, and qualification-heavy</w:t>
            </w:r>
          </w:p>
        </w:tc>
      </w:tr>
      <w:tr>
        <w:tc>
          <w:tcPr>
            <w:tcW w:type="dxa" w:w="2556"/>
            <w:vAlign w:val="center"/>
          </w:tcPr>
          <w:p>
            <w:pPr>
              <w:spacing w:after="0" w:before="0"/>
            </w:pPr>
            <w:r/>
            <w:r>
              <w:rPr>
                <w:rFonts w:ascii="Aptos" w:hAnsi="Aptos"/>
                <w:b w:val="0"/>
                <w:sz w:val="17"/>
              </w:rPr>
              <w:t>Upstream detail</w:t>
            </w:r>
          </w:p>
        </w:tc>
        <w:tc>
          <w:tcPr>
            <w:tcW w:type="dxa" w:w="2556"/>
            <w:vAlign w:val="center"/>
          </w:tcPr>
          <w:p>
            <w:pPr>
              <w:spacing w:after="0" w:before="0"/>
            </w:pPr>
            <w:r/>
            <w:r>
              <w:rPr>
                <w:rFonts w:ascii="Aptos" w:hAnsi="Aptos"/>
                <w:b w:val="0"/>
                <w:sz w:val="17"/>
              </w:rPr>
              <w:t>4 input groups; specific likely origins</w:t>
            </w:r>
          </w:p>
        </w:tc>
        <w:tc>
          <w:tcPr>
            <w:tcW w:type="dxa" w:w="2556"/>
            <w:vAlign w:val="center"/>
          </w:tcPr>
          <w:p>
            <w:pPr>
              <w:spacing w:after="0" w:before="0"/>
            </w:pPr>
            <w:r/>
            <w:r>
              <w:rPr>
                <w:rFonts w:ascii="Aptos" w:hAnsi="Aptos"/>
                <w:b w:val="0"/>
                <w:sz w:val="17"/>
              </w:rPr>
              <w:t>3 input groups; strong contractor/import framing</w:t>
            </w:r>
          </w:p>
        </w:tc>
        <w:tc>
          <w:tcPr>
            <w:tcW w:type="dxa" w:w="2556"/>
            <w:vAlign w:val="center"/>
          </w:tcPr>
          <w:p>
            <w:pPr>
              <w:spacing w:after="0" w:before="0"/>
            </w:pPr>
            <w:r/>
            <w:r>
              <w:rPr>
                <w:rFonts w:ascii="Aptos" w:hAnsi="Aptos"/>
                <w:b w:val="0"/>
                <w:sz w:val="17"/>
              </w:rPr>
              <w:t>4 input groups; more generic sourcing language</w:t>
            </w:r>
          </w:p>
        </w:tc>
      </w:tr>
      <w:tr>
        <w:tc>
          <w:tcPr>
            <w:tcW w:type="dxa" w:w="2556"/>
            <w:vAlign w:val="center"/>
          </w:tcPr>
          <w:p>
            <w:pPr>
              <w:spacing w:after="0" w:before="0"/>
            </w:pPr>
            <w:r/>
            <w:r>
              <w:rPr>
                <w:rFonts w:ascii="Aptos" w:hAnsi="Aptos"/>
                <w:b w:val="0"/>
                <w:sz w:val="17"/>
              </w:rPr>
              <w:t>Manufacturing</w:t>
            </w:r>
          </w:p>
        </w:tc>
        <w:tc>
          <w:tcPr>
            <w:tcW w:type="dxa" w:w="2556"/>
            <w:vAlign w:val="center"/>
          </w:tcPr>
          <w:p>
            <w:pPr>
              <w:spacing w:after="0" w:before="0"/>
            </w:pPr>
            <w:r/>
            <w:r>
              <w:rPr>
                <w:rFonts w:ascii="Aptos" w:hAnsi="Aptos"/>
                <w:b w:val="0"/>
                <w:sz w:val="17"/>
              </w:rPr>
              <w:t>Standard 5 stages; kiln bottleneck</w:t>
            </w:r>
          </w:p>
        </w:tc>
        <w:tc>
          <w:tcPr>
            <w:tcW w:type="dxa" w:w="2556"/>
            <w:vAlign w:val="center"/>
          </w:tcPr>
          <w:p>
            <w:pPr>
              <w:spacing w:after="0" w:before="0"/>
            </w:pPr>
            <w:r/>
            <w:r>
              <w:rPr>
                <w:rFonts w:ascii="Aptos" w:hAnsi="Aptos"/>
                <w:b w:val="0"/>
                <w:sz w:val="17"/>
              </w:rPr>
              <w:t>Standard 5 stages; calls kiln the “absolute” bottleneck</w:t>
            </w:r>
          </w:p>
        </w:tc>
        <w:tc>
          <w:tcPr>
            <w:tcW w:type="dxa" w:w="2556"/>
            <w:vAlign w:val="center"/>
          </w:tcPr>
          <w:p>
            <w:pPr>
              <w:spacing w:after="0" w:before="0"/>
            </w:pPr>
            <w:r/>
            <w:r>
              <w:rPr>
                <w:rFonts w:ascii="Aptos" w:hAnsi="Aptos"/>
                <w:b w:val="0"/>
                <w:sz w:val="17"/>
              </w:rPr>
              <w:t>Most process-detail, including preheater/calciner and clinker cooling</w:t>
            </w:r>
          </w:p>
        </w:tc>
      </w:tr>
      <w:tr>
        <w:tc>
          <w:tcPr>
            <w:tcW w:type="dxa" w:w="2556"/>
            <w:vAlign w:val="center"/>
          </w:tcPr>
          <w:p>
            <w:pPr>
              <w:spacing w:after="0" w:before="0"/>
            </w:pPr>
            <w:r/>
            <w:r>
              <w:rPr>
                <w:rFonts w:ascii="Aptos" w:hAnsi="Aptos"/>
                <w:b w:val="0"/>
                <w:sz w:val="17"/>
              </w:rPr>
              <w:t>Downstream</w:t>
            </w:r>
          </w:p>
        </w:tc>
        <w:tc>
          <w:tcPr>
            <w:tcW w:type="dxa" w:w="2556"/>
            <w:vAlign w:val="center"/>
          </w:tcPr>
          <w:p>
            <w:pPr>
              <w:spacing w:after="0" w:before="0"/>
            </w:pPr>
            <w:r/>
            <w:r>
              <w:rPr>
                <w:rFonts w:ascii="Aptos" w:hAnsi="Aptos"/>
                <w:b w:val="0"/>
                <w:sz w:val="17"/>
              </w:rPr>
              <w:t>Domestic + export; mentions 200+ dealer network</w:t>
            </w:r>
          </w:p>
        </w:tc>
        <w:tc>
          <w:tcPr>
            <w:tcW w:type="dxa" w:w="2556"/>
            <w:vAlign w:val="center"/>
          </w:tcPr>
          <w:p>
            <w:pPr>
              <w:spacing w:after="0" w:before="0"/>
            </w:pPr>
            <w:r/>
            <w:r>
              <w:rPr>
                <w:rFonts w:ascii="Aptos" w:hAnsi="Aptos"/>
                <w:b w:val="0"/>
                <w:sz w:val="17"/>
              </w:rPr>
              <w:t>Strong domestic route; direct mega-project route</w:t>
            </w:r>
          </w:p>
        </w:tc>
        <w:tc>
          <w:tcPr>
            <w:tcW w:type="dxa" w:w="2556"/>
            <w:vAlign w:val="center"/>
          </w:tcPr>
          <w:p>
            <w:pPr>
              <w:spacing w:after="0" w:before="0"/>
            </w:pPr>
            <w:r/>
            <w:r>
              <w:rPr>
                <w:rFonts w:ascii="Aptos" w:hAnsi="Aptos"/>
                <w:b w:val="0"/>
                <w:sz w:val="17"/>
              </w:rPr>
              <w:t>Clearly separates domestic, institutional and export routes</w:t>
            </w:r>
          </w:p>
        </w:tc>
      </w:tr>
      <w:tr>
        <w:tc>
          <w:tcPr>
            <w:tcW w:type="dxa" w:w="2556"/>
            <w:vAlign w:val="center"/>
          </w:tcPr>
          <w:p>
            <w:pPr>
              <w:spacing w:after="0" w:before="0"/>
            </w:pPr>
            <w:r/>
            <w:r>
              <w:rPr>
                <w:rFonts w:ascii="Aptos" w:hAnsi="Aptos"/>
                <w:b w:val="0"/>
                <w:sz w:val="17"/>
              </w:rPr>
              <w:t>Lead times</w:t>
            </w:r>
          </w:p>
        </w:tc>
        <w:tc>
          <w:tcPr>
            <w:tcW w:type="dxa" w:w="2556"/>
            <w:vAlign w:val="center"/>
          </w:tcPr>
          <w:p>
            <w:pPr>
              <w:spacing w:after="0" w:before="0"/>
            </w:pPr>
            <w:r/>
            <w:r>
              <w:rPr>
                <w:rFonts w:ascii="Aptos" w:hAnsi="Aptos"/>
                <w:b w:val="0"/>
                <w:sz w:val="17"/>
              </w:rPr>
              <w:t>Moderate imported and export ranges</w:t>
            </w:r>
          </w:p>
        </w:tc>
        <w:tc>
          <w:tcPr>
            <w:tcW w:type="dxa" w:w="2556"/>
            <w:vAlign w:val="center"/>
          </w:tcPr>
          <w:p>
            <w:pPr>
              <w:spacing w:after="0" w:before="0"/>
            </w:pPr>
            <w:r/>
            <w:r>
              <w:rPr>
                <w:rFonts w:ascii="Aptos" w:hAnsi="Aptos"/>
                <w:b w:val="0"/>
                <w:sz w:val="17"/>
              </w:rPr>
              <w:t>Longest coal lead time estimate</w:t>
            </w:r>
          </w:p>
        </w:tc>
        <w:tc>
          <w:tcPr>
            <w:tcW w:type="dxa" w:w="2556"/>
            <w:vAlign w:val="center"/>
          </w:tcPr>
          <w:p>
            <w:pPr>
              <w:spacing w:after="0" w:before="0"/>
            </w:pPr>
            <w:r/>
            <w:r>
              <w:rPr>
                <w:rFonts w:ascii="Aptos" w:hAnsi="Aptos"/>
                <w:b w:val="0"/>
                <w:sz w:val="17"/>
              </w:rPr>
              <w:t>Most granular route-by-route ranges</w:t>
            </w:r>
          </w:p>
        </w:tc>
      </w:tr>
    </w:tbl>
    <w:p>
      <w:pPr>
        <w:pStyle w:val="Heading1"/>
      </w:pPr>
      <w:r>
        <w:t>2. Where All Three Responses Agree</w:t>
      </w:r>
    </w:p>
    <w:p>
      <w:pPr>
        <w:pStyle w:val="ListBullet"/>
        <w:spacing w:after="60"/>
      </w:pPr>
      <w:r>
        <w:t>Lucky Cement is represented as an integrated cement producer with major operations associated with Karachi and Pezu.</w:t>
      </w:r>
    </w:p>
    <w:p>
      <w:pPr>
        <w:pStyle w:val="ListBullet"/>
        <w:spacing w:after="60"/>
      </w:pPr>
      <w:r>
        <w:t>The upstream chain is built around limestone/clay or corrective minerals, fuel (especially coal), and other cement inputs.</w:t>
      </w:r>
    </w:p>
    <w:p>
      <w:pPr>
        <w:pStyle w:val="ListBullet"/>
        <w:spacing w:after="60"/>
      </w:pPr>
      <w:r>
        <w:t>The manufacturing sequence is essentially the same: crushing/preparation → raw meal grinding → kiln/clinker production → cement grinding → packing/dispatch.</w:t>
      </w:r>
    </w:p>
    <w:p>
      <w:pPr>
        <w:pStyle w:val="ListBullet"/>
        <w:spacing w:after="60"/>
      </w:pPr>
      <w:r>
        <w:t>Kiln/clinker production is identified as the key bottleneck because it is continuous, energy-intensive, and constrains plant throughput.</w:t>
      </w:r>
    </w:p>
    <w:p>
      <w:pPr>
        <w:pStyle w:val="ListBullet"/>
        <w:spacing w:after="60"/>
      </w:pPr>
      <w:r>
        <w:t>The domestic chain generally moves through a regional storage/distribution stage, dealers or distributors, retailers, and then customers.</w:t>
      </w:r>
    </w:p>
    <w:p>
      <w:pPr>
        <w:pStyle w:val="ListBullet"/>
        <w:spacing w:after="60"/>
      </w:pPr>
      <w:r>
        <w:t>Demand information moves backward through the chain, while payments move toward the manufacturer.</w:t>
      </w:r>
    </w:p>
    <w:p>
      <w:pPr>
        <w:pStyle w:val="ListBullet"/>
        <w:spacing w:after="60"/>
      </w:pPr>
      <w:r>
        <w:t>Each response explicitly treats the map as illustrative and acknowledges that real supplier names, internal inventory data, and exact logistics timings are not publicly available.</w:t>
      </w:r>
    </w:p>
    <w:p>
      <w:pPr>
        <w:pStyle w:val="Heading1"/>
      </w:pPr>
      <w:r>
        <w:t>3. Key Differences Between the Three AI Responses</w:t>
      </w:r>
    </w:p>
    <w:p>
      <w:pPr>
        <w:pStyle w:val="Heading2"/>
      </w:pPr>
      <w:r>
        <w:t>3.1 Company context and factual calibration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before="0"/>
            </w:pPr>
            <w:r/>
            <w:r>
              <w:rPr>
                <w:rFonts w:ascii="Aptos" w:hAnsi="Aptos"/>
                <w:b/>
                <w:color w:val="1F4E79"/>
                <w:sz w:val="17"/>
              </w:rPr>
              <w:t>Claude</w:t>
            </w:r>
          </w:p>
        </w:tc>
        <w:tc>
          <w:tcPr>
            <w:tcW w:type="dxa" w:w="5112"/>
            <w:vAlign w:val="center"/>
          </w:tcPr>
          <w:p>
            <w:pPr>
              <w:spacing w:after="0" w:before="0"/>
            </w:pPr>
            <w:r/>
            <w:r>
              <w:rPr>
                <w:rFonts w:ascii="Aptos" w:hAnsi="Aptos"/>
                <w:b w:val="0"/>
                <w:sz w:val="17"/>
              </w:rPr>
              <w:t>Claude gives the most specific company calibration, including approximate capacity, FY2025 revenue, export volumes/destinations, and a reported 200+ dealer network.</w:t>
            </w:r>
          </w:p>
        </w:tc>
      </w:tr>
      <w:tr>
        <w:tc>
          <w:tcPr>
            <w:tcW w:type="dxa" w:w="5112"/>
            <w:vAlign w:val="center"/>
          </w:tcPr>
          <w:p>
            <w:pPr>
              <w:spacing w:after="0" w:before="0"/>
            </w:pPr>
            <w:r/>
            <w:r>
              <w:rPr>
                <w:rFonts w:ascii="Aptos" w:hAnsi="Aptos"/>
                <w:b/>
                <w:color w:val="1F4E79"/>
                <w:sz w:val="17"/>
              </w:rPr>
              <w:t>Gemini</w:t>
            </w:r>
          </w:p>
        </w:tc>
        <w:tc>
          <w:tcPr>
            <w:tcW w:type="dxa" w:w="5112"/>
            <w:vAlign w:val="center"/>
          </w:tcPr>
          <w:p>
            <w:pPr>
              <w:spacing w:after="0" w:before="0"/>
            </w:pPr>
            <w:r/>
            <w:r>
              <w:rPr>
                <w:rFonts w:ascii="Aptos" w:hAnsi="Aptos"/>
                <w:b w:val="0"/>
                <w:sz w:val="17"/>
              </w:rPr>
              <w:t>Gemini provides very little company-level context and moves quickly into the operating chain.</w:t>
            </w:r>
          </w:p>
        </w:tc>
      </w:tr>
      <w:tr>
        <w:tc>
          <w:tcPr>
            <w:tcW w:type="dxa" w:w="5112"/>
            <w:vAlign w:val="center"/>
          </w:tcPr>
          <w:p>
            <w:pPr>
              <w:spacing w:after="0" w:before="0"/>
            </w:pPr>
            <w:r/>
            <w:r>
              <w:rPr>
                <w:rFonts w:ascii="Aptos" w:hAnsi="Aptos"/>
                <w:b/>
                <w:color w:val="1F4E79"/>
                <w:sz w:val="17"/>
              </w:rPr>
              <w:t>ChatGPT</w:t>
            </w:r>
          </w:p>
        </w:tc>
        <w:tc>
          <w:tcPr>
            <w:tcW w:type="dxa" w:w="5112"/>
            <w:vAlign w:val="center"/>
          </w:tcPr>
          <w:p>
            <w:pPr>
              <w:spacing w:after="0" w:before="0"/>
            </w:pPr>
            <w:r/>
            <w:r>
              <w:rPr>
                <w:rFonts w:ascii="Aptos" w:hAnsi="Aptos"/>
                <w:b w:val="0"/>
                <w:sz w:val="17"/>
              </w:rPr>
              <w:t>ChatGPT provides company context such as PSX listing, Karachi/Pezu footprint and export terminal, but avoids many precise commercial figures.</w:t>
            </w:r>
          </w:p>
        </w:tc>
      </w:tr>
      <w:tr>
        <w:tc>
          <w:tcPr>
            <w:tcW w:type="dxa" w:w="5112"/>
            <w:vAlign w:val="center"/>
            <w:shd w:fill="D9EAF7"/>
          </w:tcPr>
          <w:p>
            <w:pPr>
              <w:spacing w:after="0" w:before="0"/>
            </w:pPr>
            <w:r/>
            <w:r>
              <w:rPr>
                <w:rFonts w:ascii="Aptos" w:hAnsi="Aptos"/>
                <w:b/>
                <w:color w:val="1F4E79"/>
                <w:sz w:val="17"/>
              </w:rPr>
              <w:t>Possible one-line reason</w:t>
            </w:r>
          </w:p>
        </w:tc>
        <w:tc>
          <w:tcPr>
            <w:tcW w:type="dxa" w:w="5112"/>
            <w:vAlign w:val="center"/>
            <w:shd w:fill="EEF5FB"/>
          </w:tcPr>
          <w:p>
            <w:pPr>
              <w:spacing w:after="0" w:before="0"/>
            </w:pPr>
            <w:r/>
            <w:r>
              <w:rPr>
                <w:rFonts w:ascii="Aptos" w:hAnsi="Aptos"/>
                <w:b w:val="0"/>
                <w:sz w:val="17"/>
              </w:rPr>
              <w:t>Likely reason: the models used different levels of confidence and different thresholds for adding company-specific public facts versus staying with a generic academic map.</w:t>
            </w:r>
          </w:p>
        </w:tc>
      </w:tr>
    </w:tbl>
    <w:p>
      <w:pPr>
        <w:spacing w:after="40"/>
      </w:pPr>
    </w:p>
    <w:p>
      <w:pPr>
        <w:pStyle w:val="Heading2"/>
      </w:pPr>
      <w:r>
        <w:t>3.2 Upstream raw-material categories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before="0"/>
            </w:pPr>
            <w:r/>
            <w:r>
              <w:rPr>
                <w:rFonts w:ascii="Aptos" w:hAnsi="Aptos"/>
                <w:b/>
                <w:color w:val="1F4E79"/>
                <w:sz w:val="17"/>
              </w:rPr>
              <w:t>Claude</w:t>
            </w:r>
          </w:p>
        </w:tc>
        <w:tc>
          <w:tcPr>
            <w:tcW w:type="dxa" w:w="5112"/>
            <w:vAlign w:val="center"/>
          </w:tcPr>
          <w:p>
            <w:pPr>
              <w:spacing w:after="0" w:before="0"/>
            </w:pPr>
            <w:r/>
            <w:r>
              <w:rPr>
                <w:rFonts w:ascii="Aptos" w:hAnsi="Aptos"/>
                <w:b w:val="0"/>
                <w:sz w:val="17"/>
              </w:rPr>
              <w:t>Claude includes limestone/clay, gypsum, coal/alternative fuel, and packaging.</w:t>
            </w:r>
          </w:p>
        </w:tc>
      </w:tr>
      <w:tr>
        <w:tc>
          <w:tcPr>
            <w:tcW w:type="dxa" w:w="5112"/>
            <w:vAlign w:val="center"/>
          </w:tcPr>
          <w:p>
            <w:pPr>
              <w:spacing w:after="0" w:before="0"/>
            </w:pPr>
            <w:r/>
            <w:r>
              <w:rPr>
                <w:rFonts w:ascii="Aptos" w:hAnsi="Aptos"/>
                <w:b/>
                <w:color w:val="1F4E79"/>
                <w:sz w:val="17"/>
              </w:rPr>
              <w:t>Gemini</w:t>
            </w:r>
          </w:p>
        </w:tc>
        <w:tc>
          <w:tcPr>
            <w:tcW w:type="dxa" w:w="5112"/>
            <w:vAlign w:val="center"/>
          </w:tcPr>
          <w:p>
            <w:pPr>
              <w:spacing w:after="0" w:before="0"/>
            </w:pPr>
            <w:r/>
            <w:r>
              <w:rPr>
                <w:rFonts w:ascii="Aptos" w:hAnsi="Aptos"/>
                <w:b w:val="0"/>
                <w:sz w:val="17"/>
              </w:rPr>
              <w:t>Gemini focuses on limestone/clay, coal, and polypropylene packaging sacks; gypsum appears later in manufacturing but is not separately mapped as an upstream category.</w:t>
            </w:r>
          </w:p>
        </w:tc>
      </w:tr>
      <w:tr>
        <w:tc>
          <w:tcPr>
            <w:tcW w:type="dxa" w:w="5112"/>
            <w:vAlign w:val="center"/>
          </w:tcPr>
          <w:p>
            <w:pPr>
              <w:spacing w:after="0" w:before="0"/>
            </w:pPr>
            <w:r/>
            <w:r>
              <w:rPr>
                <w:rFonts w:ascii="Aptos" w:hAnsi="Aptos"/>
                <w:b/>
                <w:color w:val="1F4E79"/>
                <w:sz w:val="17"/>
              </w:rPr>
              <w:t>ChatGPT</w:t>
            </w:r>
          </w:p>
        </w:tc>
        <w:tc>
          <w:tcPr>
            <w:tcW w:type="dxa" w:w="5112"/>
            <w:vAlign w:val="center"/>
          </w:tcPr>
          <w:p>
            <w:pPr>
              <w:spacing w:after="0" w:before="0"/>
            </w:pPr>
            <w:r/>
            <w:r>
              <w:rPr>
                <w:rFonts w:ascii="Aptos" w:hAnsi="Aptos"/>
                <w:b w:val="0"/>
                <w:sz w:val="17"/>
              </w:rPr>
              <w:t>ChatGPT separates limestone from clay/shale/corrective minerals, includes gypsum and coal/alternative fuel, but does not separately map packaging as a major upstream row.</w:t>
            </w:r>
          </w:p>
        </w:tc>
      </w:tr>
      <w:tr>
        <w:tc>
          <w:tcPr>
            <w:tcW w:type="dxa" w:w="5112"/>
            <w:vAlign w:val="center"/>
            <w:shd w:fill="D9EAF7"/>
          </w:tcPr>
          <w:p>
            <w:pPr>
              <w:spacing w:after="0" w:before="0"/>
            </w:pPr>
            <w:r/>
            <w:r>
              <w:rPr>
                <w:rFonts w:ascii="Aptos" w:hAnsi="Aptos"/>
                <w:b/>
                <w:color w:val="1F4E79"/>
                <w:sz w:val="17"/>
              </w:rPr>
              <w:t>Possible one-line reason</w:t>
            </w:r>
          </w:p>
        </w:tc>
        <w:tc>
          <w:tcPr>
            <w:tcW w:type="dxa" w:w="5112"/>
            <w:vAlign w:val="center"/>
            <w:shd w:fill="EEF5FB"/>
          </w:tcPr>
          <w:p>
            <w:pPr>
              <w:spacing w:after="0" w:before="0"/>
            </w:pPr>
            <w:r/>
            <w:r>
              <w:rPr>
                <w:rFonts w:ascii="Aptos" w:hAnsi="Aptos"/>
                <w:b w:val="0"/>
                <w:sz w:val="17"/>
              </w:rPr>
              <w:t>Likely reason: each AI chose a different level of supply-chain granularity and decided differently about which secondary inputs were important enough to show as standalone supplier categories.</w:t>
            </w:r>
          </w:p>
        </w:tc>
      </w:tr>
    </w:tbl>
    <w:p>
      <w:pPr>
        <w:spacing w:after="40"/>
      </w:pPr>
    </w:p>
    <w:p>
      <w:pPr>
        <w:pStyle w:val="Heading2"/>
      </w:pPr>
      <w:r>
        <w:t>3.3 Specificity of sourcing origins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before="0"/>
            </w:pPr>
            <w:r/>
            <w:r>
              <w:rPr>
                <w:rFonts w:ascii="Aptos" w:hAnsi="Aptos"/>
                <w:b/>
                <w:color w:val="1F4E79"/>
                <w:sz w:val="17"/>
              </w:rPr>
              <w:t>Claude</w:t>
            </w:r>
          </w:p>
        </w:tc>
        <w:tc>
          <w:tcPr>
            <w:tcW w:type="dxa" w:w="5112"/>
            <w:vAlign w:val="center"/>
          </w:tcPr>
          <w:p>
            <w:pPr>
              <w:spacing w:after="0" w:before="0"/>
            </w:pPr>
            <w:r/>
            <w:r>
              <w:rPr>
                <w:rFonts w:ascii="Aptos" w:hAnsi="Aptos"/>
                <w:b w:val="0"/>
                <w:sz w:val="17"/>
              </w:rPr>
              <w:t>Claude is the most specific, naming locations such as Sindh/Balochistan for gypsum and South Africa, Indonesia or Afghanistan for coal, while also mentioning possible gypsum imports from Iran/UAE.</w:t>
            </w:r>
          </w:p>
        </w:tc>
      </w:tr>
      <w:tr>
        <w:tc>
          <w:tcPr>
            <w:tcW w:type="dxa" w:w="5112"/>
            <w:vAlign w:val="center"/>
          </w:tcPr>
          <w:p>
            <w:pPr>
              <w:spacing w:after="0" w:before="0"/>
            </w:pPr>
            <w:r/>
            <w:r>
              <w:rPr>
                <w:rFonts w:ascii="Aptos" w:hAnsi="Aptos"/>
                <w:b/>
                <w:color w:val="1F4E79"/>
                <w:sz w:val="17"/>
              </w:rPr>
              <w:t>Gemini</w:t>
            </w:r>
          </w:p>
        </w:tc>
        <w:tc>
          <w:tcPr>
            <w:tcW w:type="dxa" w:w="5112"/>
            <w:vAlign w:val="center"/>
          </w:tcPr>
          <w:p>
            <w:pPr>
              <w:spacing w:after="0" w:before="0"/>
            </w:pPr>
            <w:r/>
            <w:r>
              <w:rPr>
                <w:rFonts w:ascii="Aptos" w:hAnsi="Aptos"/>
                <w:b w:val="0"/>
                <w:sz w:val="17"/>
              </w:rPr>
              <w:t>Gemini is also specific for coal and packaging resin, referring to South Africa/Indonesia and Middle Eastern petrochemical sources.</w:t>
            </w:r>
          </w:p>
        </w:tc>
      </w:tr>
      <w:tr>
        <w:tc>
          <w:tcPr>
            <w:tcW w:type="dxa" w:w="5112"/>
            <w:vAlign w:val="center"/>
          </w:tcPr>
          <w:p>
            <w:pPr>
              <w:spacing w:after="0" w:before="0"/>
            </w:pPr>
            <w:r/>
            <w:r>
              <w:rPr>
                <w:rFonts w:ascii="Aptos" w:hAnsi="Aptos"/>
                <w:b/>
                <w:color w:val="1F4E79"/>
                <w:sz w:val="17"/>
              </w:rPr>
              <w:t>ChatGPT</w:t>
            </w:r>
          </w:p>
        </w:tc>
        <w:tc>
          <w:tcPr>
            <w:tcW w:type="dxa" w:w="5112"/>
            <w:vAlign w:val="center"/>
          </w:tcPr>
          <w:p>
            <w:pPr>
              <w:spacing w:after="0" w:before="0"/>
            </w:pPr>
            <w:r/>
            <w:r>
              <w:rPr>
                <w:rFonts w:ascii="Aptos" w:hAnsi="Aptos"/>
                <w:b w:val="0"/>
                <w:sz w:val="17"/>
              </w:rPr>
              <w:t>ChatGPT is more conservative, generally describing materials as domestic and/or imported without strongly asserting exact origin countries.</w:t>
            </w:r>
          </w:p>
        </w:tc>
      </w:tr>
      <w:tr>
        <w:tc>
          <w:tcPr>
            <w:tcW w:type="dxa" w:w="5112"/>
            <w:vAlign w:val="center"/>
            <w:shd w:fill="D9EAF7"/>
          </w:tcPr>
          <w:p>
            <w:pPr>
              <w:spacing w:after="0" w:before="0"/>
            </w:pPr>
            <w:r/>
            <w:r>
              <w:rPr>
                <w:rFonts w:ascii="Aptos" w:hAnsi="Aptos"/>
                <w:b/>
                <w:color w:val="1F4E79"/>
                <w:sz w:val="17"/>
              </w:rPr>
              <w:t>Possible one-line reason</w:t>
            </w:r>
          </w:p>
        </w:tc>
        <w:tc>
          <w:tcPr>
            <w:tcW w:type="dxa" w:w="5112"/>
            <w:vAlign w:val="center"/>
            <w:shd w:fill="EEF5FB"/>
          </w:tcPr>
          <w:p>
            <w:pPr>
              <w:spacing w:after="0" w:before="0"/>
            </w:pPr>
            <w:r/>
            <w:r>
              <w:rPr>
                <w:rFonts w:ascii="Aptos" w:hAnsi="Aptos"/>
                <w:b w:val="0"/>
                <w:sz w:val="17"/>
              </w:rPr>
              <w:t>Likely reason: ChatGPT used a more cautious evidentiary style, while Claude and Gemini were more willing to infer plausible sourcing geographies from industry patterns.</w:t>
            </w:r>
          </w:p>
        </w:tc>
      </w:tr>
    </w:tbl>
    <w:p>
      <w:pPr>
        <w:spacing w:after="40"/>
      </w:pPr>
    </w:p>
    <w:p>
      <w:pPr>
        <w:pStyle w:val="Heading2"/>
      </w:pPr>
      <w:r>
        <w:t>3.4 Manufacturing process detail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before="0"/>
            </w:pPr>
            <w:r/>
            <w:r>
              <w:rPr>
                <w:rFonts w:ascii="Aptos" w:hAnsi="Aptos"/>
                <w:b/>
                <w:color w:val="1F4E79"/>
                <w:sz w:val="17"/>
              </w:rPr>
              <w:t>Claude</w:t>
            </w:r>
          </w:p>
        </w:tc>
        <w:tc>
          <w:tcPr>
            <w:tcW w:type="dxa" w:w="5112"/>
            <w:vAlign w:val="center"/>
          </w:tcPr>
          <w:p>
            <w:pPr>
              <w:spacing w:after="0" w:before="0"/>
            </w:pPr>
            <w:r/>
            <w:r>
              <w:rPr>
                <w:rFonts w:ascii="Aptos" w:hAnsi="Aptos"/>
                <w:b w:val="0"/>
                <w:sz w:val="17"/>
              </w:rPr>
              <w:t>Claude presents a clean five-stage process and specifies kiln temperature at about 1,450°C.</w:t>
            </w:r>
          </w:p>
        </w:tc>
      </w:tr>
      <w:tr>
        <w:tc>
          <w:tcPr>
            <w:tcW w:type="dxa" w:w="5112"/>
            <w:vAlign w:val="center"/>
          </w:tcPr>
          <w:p>
            <w:pPr>
              <w:spacing w:after="0" w:before="0"/>
            </w:pPr>
            <w:r/>
            <w:r>
              <w:rPr>
                <w:rFonts w:ascii="Aptos" w:hAnsi="Aptos"/>
                <w:b/>
                <w:color w:val="1F4E79"/>
                <w:sz w:val="17"/>
              </w:rPr>
              <w:t>Gemini</w:t>
            </w:r>
          </w:p>
        </w:tc>
        <w:tc>
          <w:tcPr>
            <w:tcW w:type="dxa" w:w="5112"/>
            <w:vAlign w:val="center"/>
          </w:tcPr>
          <w:p>
            <w:pPr>
              <w:spacing w:after="0" w:before="0"/>
            </w:pPr>
            <w:r/>
            <w:r>
              <w:rPr>
                <w:rFonts w:ascii="Aptos" w:hAnsi="Aptos"/>
                <w:b w:val="0"/>
                <w:sz w:val="17"/>
              </w:rPr>
              <w:t>Gemini also uses five stages, adds pre-homogenization, explicitly mentions 50 kg bags, and calls pyroprocessing the “absolute bottleneck.”</w:t>
            </w:r>
          </w:p>
        </w:tc>
      </w:tr>
      <w:tr>
        <w:tc>
          <w:tcPr>
            <w:tcW w:type="dxa" w:w="5112"/>
            <w:vAlign w:val="center"/>
          </w:tcPr>
          <w:p>
            <w:pPr>
              <w:spacing w:after="0" w:before="0"/>
            </w:pPr>
            <w:r/>
            <w:r>
              <w:rPr>
                <w:rFonts w:ascii="Aptos" w:hAnsi="Aptos"/>
                <w:b/>
                <w:color w:val="1F4E79"/>
                <w:sz w:val="17"/>
              </w:rPr>
              <w:t>ChatGPT</w:t>
            </w:r>
          </w:p>
        </w:tc>
        <w:tc>
          <w:tcPr>
            <w:tcW w:type="dxa" w:w="5112"/>
            <w:vAlign w:val="center"/>
          </w:tcPr>
          <w:p>
            <w:pPr>
              <w:spacing w:after="0" w:before="0"/>
            </w:pPr>
            <w:r/>
            <w:r>
              <w:rPr>
                <w:rFonts w:ascii="Aptos" w:hAnsi="Aptos"/>
                <w:b w:val="0"/>
                <w:sz w:val="17"/>
              </w:rPr>
              <w:t>ChatGPT gives the most process-engineering detail, including preheating, calcination, clinker cooling, permitted additives and bulk tanker dispatch.</w:t>
            </w:r>
          </w:p>
        </w:tc>
      </w:tr>
      <w:tr>
        <w:tc>
          <w:tcPr>
            <w:tcW w:type="dxa" w:w="5112"/>
            <w:vAlign w:val="center"/>
            <w:shd w:fill="D9EAF7"/>
          </w:tcPr>
          <w:p>
            <w:pPr>
              <w:spacing w:after="0" w:before="0"/>
            </w:pPr>
            <w:r/>
            <w:r>
              <w:rPr>
                <w:rFonts w:ascii="Aptos" w:hAnsi="Aptos"/>
                <w:b/>
                <w:color w:val="1F4E79"/>
                <w:sz w:val="17"/>
              </w:rPr>
              <w:t>Possible one-line reason</w:t>
            </w:r>
          </w:p>
        </w:tc>
        <w:tc>
          <w:tcPr>
            <w:tcW w:type="dxa" w:w="5112"/>
            <w:vAlign w:val="center"/>
            <w:shd w:fill="EEF5FB"/>
          </w:tcPr>
          <w:p>
            <w:pPr>
              <w:spacing w:after="0" w:before="0"/>
            </w:pPr>
            <w:r/>
            <w:r>
              <w:rPr>
                <w:rFonts w:ascii="Aptos" w:hAnsi="Aptos"/>
                <w:b w:val="0"/>
                <w:sz w:val="17"/>
              </w:rPr>
              <w:t>Likely reason: the three models differed in technical depth; ChatGPT emphasized process completeness, Gemini emphasized operational clarity, and Claude balanced process detail with supply-chain framing.</w:t>
            </w:r>
          </w:p>
        </w:tc>
      </w:tr>
    </w:tbl>
    <w:p>
      <w:pPr>
        <w:spacing w:after="40"/>
      </w:pPr>
    </w:p>
    <w:p>
      <w:pPr>
        <w:pStyle w:val="Heading2"/>
      </w:pPr>
      <w:r>
        <w:t>3.5 Downstream distribution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before="0"/>
            </w:pPr>
            <w:r/>
            <w:r>
              <w:rPr>
                <w:rFonts w:ascii="Aptos" w:hAnsi="Aptos"/>
                <w:b/>
                <w:color w:val="1F4E79"/>
                <w:sz w:val="17"/>
              </w:rPr>
              <w:t>Claude</w:t>
            </w:r>
          </w:p>
        </w:tc>
        <w:tc>
          <w:tcPr>
            <w:tcW w:type="dxa" w:w="5112"/>
            <w:vAlign w:val="center"/>
          </w:tcPr>
          <w:p>
            <w:pPr>
              <w:spacing w:after="0" w:before="0"/>
            </w:pPr>
            <w:r/>
            <w:r>
              <w:rPr>
                <w:rFonts w:ascii="Aptos" w:hAnsi="Aptos"/>
                <w:b w:val="0"/>
                <w:sz w:val="17"/>
              </w:rPr>
              <w:t>Claude describes domestic depots/stockpoints, a dealer network, retail shops, and a separate export path through Karachi Port.</w:t>
            </w:r>
          </w:p>
        </w:tc>
      </w:tr>
      <w:tr>
        <w:tc>
          <w:tcPr>
            <w:tcW w:type="dxa" w:w="5112"/>
            <w:vAlign w:val="center"/>
          </w:tcPr>
          <w:p>
            <w:pPr>
              <w:spacing w:after="0" w:before="0"/>
            </w:pPr>
            <w:r/>
            <w:r>
              <w:rPr>
                <w:rFonts w:ascii="Aptos" w:hAnsi="Aptos"/>
                <w:b/>
                <w:color w:val="1F4E79"/>
                <w:sz w:val="17"/>
              </w:rPr>
              <w:t>Gemini</w:t>
            </w:r>
          </w:p>
        </w:tc>
        <w:tc>
          <w:tcPr>
            <w:tcW w:type="dxa" w:w="5112"/>
            <w:vAlign w:val="center"/>
          </w:tcPr>
          <w:p>
            <w:pPr>
              <w:spacing w:after="0" w:before="0"/>
            </w:pPr>
            <w:r/>
            <w:r>
              <w:rPr>
                <w:rFonts w:ascii="Aptos" w:hAnsi="Aptos"/>
                <w:b w:val="0"/>
                <w:sz w:val="17"/>
              </w:rPr>
              <w:t>Gemini emphasizes company-owned regional depots, wholesale distributors and retailers, while also noting direct bulk delivery to mega-project sites.</w:t>
            </w:r>
          </w:p>
        </w:tc>
      </w:tr>
      <w:tr>
        <w:tc>
          <w:tcPr>
            <w:tcW w:type="dxa" w:w="5112"/>
            <w:vAlign w:val="center"/>
          </w:tcPr>
          <w:p>
            <w:pPr>
              <w:spacing w:after="0" w:before="0"/>
            </w:pPr>
            <w:r/>
            <w:r>
              <w:rPr>
                <w:rFonts w:ascii="Aptos" w:hAnsi="Aptos"/>
                <w:b/>
                <w:color w:val="1F4E79"/>
                <w:sz w:val="17"/>
              </w:rPr>
              <w:t>ChatGPT</w:t>
            </w:r>
          </w:p>
        </w:tc>
        <w:tc>
          <w:tcPr>
            <w:tcW w:type="dxa" w:w="5112"/>
            <w:vAlign w:val="center"/>
          </w:tcPr>
          <w:p>
            <w:pPr>
              <w:spacing w:after="0" w:before="0"/>
            </w:pPr>
            <w:r/>
            <w:r>
              <w:rPr>
                <w:rFonts w:ascii="Aptos" w:hAnsi="Aptos"/>
                <w:b w:val="0"/>
                <w:sz w:val="17"/>
              </w:rPr>
              <w:t>ChatGPT distinguishes retail, institutional/direct and export routes most explicitly, including shorter routes for large customers.</w:t>
            </w:r>
          </w:p>
        </w:tc>
      </w:tr>
      <w:tr>
        <w:tc>
          <w:tcPr>
            <w:tcW w:type="dxa" w:w="5112"/>
            <w:vAlign w:val="center"/>
            <w:shd w:fill="D9EAF7"/>
          </w:tcPr>
          <w:p>
            <w:pPr>
              <w:spacing w:after="0" w:before="0"/>
            </w:pPr>
            <w:r/>
            <w:r>
              <w:rPr>
                <w:rFonts w:ascii="Aptos" w:hAnsi="Aptos"/>
                <w:b/>
                <w:color w:val="1F4E79"/>
                <w:sz w:val="17"/>
              </w:rPr>
              <w:t>Possible one-line reason</w:t>
            </w:r>
          </w:p>
        </w:tc>
        <w:tc>
          <w:tcPr>
            <w:tcW w:type="dxa" w:w="5112"/>
            <w:vAlign w:val="center"/>
            <w:shd w:fill="EEF5FB"/>
          </w:tcPr>
          <w:p>
            <w:pPr>
              <w:spacing w:after="0" w:before="0"/>
            </w:pPr>
            <w:r/>
            <w:r>
              <w:rPr>
                <w:rFonts w:ascii="Aptos" w:hAnsi="Aptos"/>
                <w:b w:val="0"/>
                <w:sz w:val="17"/>
              </w:rPr>
              <w:t>Likely reason: each AI prioritized a different customer segment—Claude balanced domestic/export, Gemini emphasized domestic physical distribution, and ChatGPT emphasized channel variation by customer type.</w:t>
            </w:r>
          </w:p>
        </w:tc>
      </w:tr>
    </w:tbl>
    <w:p>
      <w:pPr>
        <w:spacing w:after="40"/>
      </w:pPr>
    </w:p>
    <w:p>
      <w:pPr>
        <w:pStyle w:val="Heading2"/>
      </w:pPr>
      <w:r>
        <w:t>3.6 Information and financial flows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before="0"/>
            </w:pPr>
            <w:r/>
            <w:r>
              <w:rPr>
                <w:rFonts w:ascii="Aptos" w:hAnsi="Aptos"/>
                <w:b/>
                <w:color w:val="1F4E79"/>
                <w:sz w:val="17"/>
              </w:rPr>
              <w:t>Claude</w:t>
            </w:r>
          </w:p>
        </w:tc>
        <w:tc>
          <w:tcPr>
            <w:tcW w:type="dxa" w:w="5112"/>
            <w:vAlign w:val="center"/>
          </w:tcPr>
          <w:p>
            <w:pPr>
              <w:spacing w:after="0" w:before="0"/>
            </w:pPr>
            <w:r/>
            <w:r>
              <w:rPr>
                <w:rFonts w:ascii="Aptos" w:hAnsi="Aptos"/>
                <w:b w:val="0"/>
                <w:sz w:val="17"/>
              </w:rPr>
              <w:t>Claude states that dealers may pay in advance or on short credit, while institutional/export customers may use negotiated credit or letters of credit.</w:t>
            </w:r>
          </w:p>
        </w:tc>
      </w:tr>
      <w:tr>
        <w:tc>
          <w:tcPr>
            <w:tcW w:type="dxa" w:w="5112"/>
            <w:vAlign w:val="center"/>
          </w:tcPr>
          <w:p>
            <w:pPr>
              <w:spacing w:after="0" w:before="0"/>
            </w:pPr>
            <w:r/>
            <w:r>
              <w:rPr>
                <w:rFonts w:ascii="Aptos" w:hAnsi="Aptos"/>
                <w:b/>
                <w:color w:val="1F4E79"/>
                <w:sz w:val="17"/>
              </w:rPr>
              <w:t>Gemini</w:t>
            </w:r>
          </w:p>
        </w:tc>
        <w:tc>
          <w:tcPr>
            <w:tcW w:type="dxa" w:w="5112"/>
            <w:vAlign w:val="center"/>
          </w:tcPr>
          <w:p>
            <w:pPr>
              <w:spacing w:after="0" w:before="0"/>
            </w:pPr>
            <w:r/>
            <w:r>
              <w:rPr>
                <w:rFonts w:ascii="Aptos" w:hAnsi="Aptos"/>
                <w:b w:val="0"/>
                <w:sz w:val="17"/>
              </w:rPr>
              <w:t>Gemini emphasizes advance deposits or secured bank credit lines used to clear trucks for dispatch.</w:t>
            </w:r>
          </w:p>
        </w:tc>
      </w:tr>
      <w:tr>
        <w:tc>
          <w:tcPr>
            <w:tcW w:type="dxa" w:w="5112"/>
            <w:vAlign w:val="center"/>
          </w:tcPr>
          <w:p>
            <w:pPr>
              <w:spacing w:after="0" w:before="0"/>
            </w:pPr>
            <w:r/>
            <w:r>
              <w:rPr>
                <w:rFonts w:ascii="Aptos" w:hAnsi="Aptos"/>
                <w:b/>
                <w:color w:val="1F4E79"/>
                <w:sz w:val="17"/>
              </w:rPr>
              <w:t>ChatGPT</w:t>
            </w:r>
          </w:p>
        </w:tc>
        <w:tc>
          <w:tcPr>
            <w:tcW w:type="dxa" w:w="5112"/>
            <w:vAlign w:val="center"/>
          </w:tcPr>
          <w:p>
            <w:pPr>
              <w:spacing w:after="0" w:before="0"/>
            </w:pPr>
            <w:r/>
            <w:r>
              <w:rPr>
                <w:rFonts w:ascii="Aptos" w:hAnsi="Aptos"/>
                <w:b w:val="0"/>
                <w:sz w:val="17"/>
              </w:rPr>
              <w:t>ChatGPT uses broader wording such as cash/near-cash, credit terms and international trade-payment arrangements.</w:t>
            </w:r>
          </w:p>
        </w:tc>
      </w:tr>
      <w:tr>
        <w:tc>
          <w:tcPr>
            <w:tcW w:type="dxa" w:w="5112"/>
            <w:vAlign w:val="center"/>
            <w:shd w:fill="D9EAF7"/>
          </w:tcPr>
          <w:p>
            <w:pPr>
              <w:spacing w:after="0" w:before="0"/>
            </w:pPr>
            <w:r/>
            <w:r>
              <w:rPr>
                <w:rFonts w:ascii="Aptos" w:hAnsi="Aptos"/>
                <w:b/>
                <w:color w:val="1F4E79"/>
                <w:sz w:val="17"/>
              </w:rPr>
              <w:t>Possible one-line reason</w:t>
            </w:r>
          </w:p>
        </w:tc>
        <w:tc>
          <w:tcPr>
            <w:tcW w:type="dxa" w:w="5112"/>
            <w:vAlign w:val="center"/>
            <w:shd w:fill="EEF5FB"/>
          </w:tcPr>
          <w:p>
            <w:pPr>
              <w:spacing w:after="0" w:before="0"/>
            </w:pPr>
            <w:r/>
            <w:r>
              <w:rPr>
                <w:rFonts w:ascii="Aptos" w:hAnsi="Aptos"/>
                <w:b w:val="0"/>
                <w:sz w:val="17"/>
              </w:rPr>
              <w:t>Likely reason: financial terms are not disclosed in the source material, so each model relied on different generic assumptions about Pakistan's cement trade and chose a different level of specificity.</w:t>
            </w:r>
          </w:p>
        </w:tc>
      </w:tr>
    </w:tbl>
    <w:p>
      <w:pPr>
        <w:spacing w:after="40"/>
      </w:pPr>
    </w:p>
    <w:p>
      <w:pPr>
        <w:pStyle w:val="Heading2"/>
      </w:pPr>
      <w:r>
        <w:t>3.7 Lead-time estimates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before="0"/>
            </w:pPr>
            <w:r/>
            <w:r>
              <w:rPr>
                <w:rFonts w:ascii="Aptos" w:hAnsi="Aptos"/>
                <w:b/>
                <w:color w:val="1F4E79"/>
                <w:sz w:val="17"/>
              </w:rPr>
              <w:t>Claude</w:t>
            </w:r>
          </w:p>
        </w:tc>
        <w:tc>
          <w:tcPr>
            <w:tcW w:type="dxa" w:w="5112"/>
            <w:vAlign w:val="center"/>
          </w:tcPr>
          <w:p>
            <w:pPr>
              <w:spacing w:after="0" w:before="0"/>
            </w:pPr>
            <w:r/>
            <w:r>
              <w:rPr>
                <w:rFonts w:ascii="Aptos" w:hAnsi="Aptos"/>
                <w:b w:val="0"/>
                <w:sz w:val="17"/>
              </w:rPr>
              <w:t>Claude estimates imported supplier-to-factory movements at 15–35 days, domestic material at 2–5 days, domestic depot-to-dealer at 2–7 days and export movement at 10–25 days.</w:t>
            </w:r>
          </w:p>
        </w:tc>
      </w:tr>
      <w:tr>
        <w:tc>
          <w:tcPr>
            <w:tcW w:type="dxa" w:w="5112"/>
            <w:vAlign w:val="center"/>
          </w:tcPr>
          <w:p>
            <w:pPr>
              <w:spacing w:after="0" w:before="0"/>
            </w:pPr>
            <w:r/>
            <w:r>
              <w:rPr>
                <w:rFonts w:ascii="Aptos" w:hAnsi="Aptos"/>
                <w:b/>
                <w:color w:val="1F4E79"/>
                <w:sz w:val="17"/>
              </w:rPr>
              <w:t>Gemini</w:t>
            </w:r>
          </w:p>
        </w:tc>
        <w:tc>
          <w:tcPr>
            <w:tcW w:type="dxa" w:w="5112"/>
            <w:vAlign w:val="center"/>
          </w:tcPr>
          <w:p>
            <w:pPr>
              <w:spacing w:after="0" w:before="0"/>
            </w:pPr>
            <w:r/>
            <w:r>
              <w:rPr>
                <w:rFonts w:ascii="Aptos" w:hAnsi="Aptos"/>
                <w:b w:val="0"/>
                <w:sz w:val="17"/>
              </w:rPr>
              <w:t>Gemini gives 1–2 days for limestone, 30–45 days for imported coal, 1–3 days factory-to-depot and 1–2 days depot-to-retailer; it does not develop export lead times as fully.</w:t>
            </w:r>
          </w:p>
        </w:tc>
      </w:tr>
      <w:tr>
        <w:tc>
          <w:tcPr>
            <w:tcW w:type="dxa" w:w="5112"/>
            <w:vAlign w:val="center"/>
          </w:tcPr>
          <w:p>
            <w:pPr>
              <w:spacing w:after="0" w:before="0"/>
            </w:pPr>
            <w:r/>
            <w:r>
              <w:rPr>
                <w:rFonts w:ascii="Aptos" w:hAnsi="Aptos"/>
                <w:b/>
                <w:color w:val="1F4E79"/>
                <w:sz w:val="17"/>
              </w:rPr>
              <w:t>ChatGPT</w:t>
            </w:r>
          </w:p>
        </w:tc>
        <w:tc>
          <w:tcPr>
            <w:tcW w:type="dxa" w:w="5112"/>
            <w:vAlign w:val="center"/>
          </w:tcPr>
          <w:p>
            <w:pPr>
              <w:spacing w:after="0" w:before="0"/>
            </w:pPr>
            <w:r/>
            <w:r>
              <w:rPr>
                <w:rFonts w:ascii="Aptos" w:hAnsi="Aptos"/>
                <w:b w:val="0"/>
                <w:sz w:val="17"/>
              </w:rPr>
              <w:t>ChatGPT gives the most granular schedule: 0.5–2 days local minerals, 2–7 days gypsum, 7–21 days fuel, separate nearby/distant warehouse times and 10–35+ days for overseas movement.</w:t>
            </w:r>
          </w:p>
        </w:tc>
      </w:tr>
      <w:tr>
        <w:tc>
          <w:tcPr>
            <w:tcW w:type="dxa" w:w="5112"/>
            <w:vAlign w:val="center"/>
            <w:shd w:fill="D9EAF7"/>
          </w:tcPr>
          <w:p>
            <w:pPr>
              <w:spacing w:after="0" w:before="0"/>
            </w:pPr>
            <w:r/>
            <w:r>
              <w:rPr>
                <w:rFonts w:ascii="Aptos" w:hAnsi="Aptos"/>
                <w:b/>
                <w:color w:val="1F4E79"/>
                <w:sz w:val="17"/>
              </w:rPr>
              <w:t>Possible one-line reason</w:t>
            </w:r>
          </w:p>
        </w:tc>
        <w:tc>
          <w:tcPr>
            <w:tcW w:type="dxa" w:w="5112"/>
            <w:vAlign w:val="center"/>
            <w:shd w:fill="EEF5FB"/>
          </w:tcPr>
          <w:p>
            <w:pPr>
              <w:spacing w:after="0" w:before="0"/>
            </w:pPr>
            <w:r/>
            <w:r>
              <w:rPr>
                <w:rFonts w:ascii="Aptos" w:hAnsi="Aptos"/>
                <w:b w:val="0"/>
                <w:sz w:val="17"/>
              </w:rPr>
              <w:t>Likely reason: lead times are illustrative rather than observed data, so the models used different assumptions about import mode, inventory position, port clearance, and whether lead time starts at supplier order, shipment, or physical dispatch.</w:t>
            </w:r>
          </w:p>
        </w:tc>
      </w:tr>
    </w:tbl>
    <w:p>
      <w:pPr>
        <w:spacing w:after="40"/>
      </w:pPr>
    </w:p>
    <w:p>
      <w:pPr>
        <w:pStyle w:val="Heading2"/>
      </w:pPr>
      <w:r>
        <w:t>3.8 Treatment of uncertainty and assumptions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before="0"/>
            </w:pPr>
            <w:r/>
            <w:r>
              <w:rPr>
                <w:rFonts w:ascii="Aptos" w:hAnsi="Aptos"/>
                <w:b/>
                <w:color w:val="1F4E79"/>
                <w:sz w:val="17"/>
              </w:rPr>
              <w:t>Claude</w:t>
            </w:r>
          </w:p>
        </w:tc>
        <w:tc>
          <w:tcPr>
            <w:tcW w:type="dxa" w:w="5112"/>
            <w:vAlign w:val="center"/>
          </w:tcPr>
          <w:p>
            <w:pPr>
              <w:spacing w:after="0" w:before="0"/>
            </w:pPr>
            <w:r/>
            <w:r>
              <w:rPr>
                <w:rFonts w:ascii="Aptos" w:hAnsi="Aptos"/>
                <w:b w:val="0"/>
                <w:sz w:val="17"/>
              </w:rPr>
              <w:t>Claude openly notes uncertainty in sourcing mix, dealer structure, freight mode and ERP-level data.</w:t>
            </w:r>
          </w:p>
        </w:tc>
      </w:tr>
      <w:tr>
        <w:tc>
          <w:tcPr>
            <w:tcW w:type="dxa" w:w="5112"/>
            <w:vAlign w:val="center"/>
          </w:tcPr>
          <w:p>
            <w:pPr>
              <w:spacing w:after="0" w:before="0"/>
            </w:pPr>
            <w:r/>
            <w:r>
              <w:rPr>
                <w:rFonts w:ascii="Aptos" w:hAnsi="Aptos"/>
                <w:b/>
                <w:color w:val="1F4E79"/>
                <w:sz w:val="17"/>
              </w:rPr>
              <w:t>Gemini</w:t>
            </w:r>
          </w:p>
        </w:tc>
        <w:tc>
          <w:tcPr>
            <w:tcW w:type="dxa" w:w="5112"/>
            <w:vAlign w:val="center"/>
          </w:tcPr>
          <w:p>
            <w:pPr>
              <w:spacing w:after="0" w:before="0"/>
            </w:pPr>
            <w:r/>
            <w:r>
              <w:rPr>
                <w:rFonts w:ascii="Aptos" w:hAnsi="Aptos"/>
                <w:b w:val="0"/>
                <w:sz w:val="17"/>
              </w:rPr>
              <w:t>Gemini highlights assumptions around imported coal, alternative fuels, outsourced packaging, inventory buffers, spare parts and 3PL capacity.</w:t>
            </w:r>
          </w:p>
        </w:tc>
      </w:tr>
      <w:tr>
        <w:tc>
          <w:tcPr>
            <w:tcW w:type="dxa" w:w="5112"/>
            <w:vAlign w:val="center"/>
          </w:tcPr>
          <w:p>
            <w:pPr>
              <w:spacing w:after="0" w:before="0"/>
            </w:pPr>
            <w:r/>
            <w:r>
              <w:rPr>
                <w:rFonts w:ascii="Aptos" w:hAnsi="Aptos"/>
                <w:b/>
                <w:color w:val="1F4E79"/>
                <w:sz w:val="17"/>
              </w:rPr>
              <w:t>ChatGPT</w:t>
            </w:r>
          </w:p>
        </w:tc>
        <w:tc>
          <w:tcPr>
            <w:tcW w:type="dxa" w:w="5112"/>
            <w:vAlign w:val="center"/>
          </w:tcPr>
          <w:p>
            <w:pPr>
              <w:spacing w:after="0" w:before="0"/>
            </w:pPr>
            <w:r/>
            <w:r>
              <w:rPr>
                <w:rFonts w:ascii="Aptos" w:hAnsi="Aptos"/>
                <w:b w:val="0"/>
                <w:sz w:val="17"/>
              </w:rPr>
              <w:t>ChatGPT is the most explicit about not claiming named suppliers and repeatedly separates public facts from illustrative assumptions.</w:t>
            </w:r>
          </w:p>
        </w:tc>
      </w:tr>
      <w:tr>
        <w:tc>
          <w:tcPr>
            <w:tcW w:type="dxa" w:w="5112"/>
            <w:vAlign w:val="center"/>
            <w:shd w:fill="D9EAF7"/>
          </w:tcPr>
          <w:p>
            <w:pPr>
              <w:spacing w:after="0" w:before="0"/>
            </w:pPr>
            <w:r/>
            <w:r>
              <w:rPr>
                <w:rFonts w:ascii="Aptos" w:hAnsi="Aptos"/>
                <w:b/>
                <w:color w:val="1F4E79"/>
                <w:sz w:val="17"/>
              </w:rPr>
              <w:t>Possible one-line reason</w:t>
            </w:r>
          </w:p>
        </w:tc>
        <w:tc>
          <w:tcPr>
            <w:tcW w:type="dxa" w:w="5112"/>
            <w:vAlign w:val="center"/>
            <w:shd w:fill="EEF5FB"/>
          </w:tcPr>
          <w:p>
            <w:pPr>
              <w:spacing w:after="0" w:before="0"/>
            </w:pPr>
            <w:r/>
            <w:r>
              <w:rPr>
                <w:rFonts w:ascii="Aptos" w:hAnsi="Aptos"/>
                <w:b w:val="0"/>
                <w:sz w:val="17"/>
              </w:rPr>
              <w:t>Likely reason: the models have different response styles for uncertainty—ChatGPT foregrounded evidence limits, Claude emphasized calibration limits, and Gemini emphasized operational assumptions omitted from a simplified map.</w:t>
            </w:r>
          </w:p>
        </w:tc>
      </w:tr>
    </w:tbl>
    <w:p>
      <w:pPr>
        <w:spacing w:after="40"/>
      </w:pPr>
    </w:p>
    <w:p>
      <w:pPr>
        <w:pStyle w:val="Heading1"/>
      </w:pPr>
      <w:r>
        <w:t>4. Consolidated Comparison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pPr>
              <w:spacing w:after="0" w:before="0"/>
            </w:pPr>
            <w:r/>
            <w:r>
              <w:rPr>
                <w:rFonts w:ascii="Aptos" w:hAnsi="Aptos"/>
                <w:b/>
                <w:color w:val="FFFFFF"/>
                <w:sz w:val="16"/>
              </w:rPr>
              <w:t>Aspect</w:t>
            </w:r>
          </w:p>
        </w:tc>
        <w:tc>
          <w:tcPr>
            <w:tcW w:type="dxa" w:w="2045"/>
            <w:vAlign w:val="center"/>
            <w:shd w:fill="1F4E78"/>
          </w:tcPr>
          <w:p>
            <w:pPr>
              <w:spacing w:after="0" w:before="0"/>
            </w:pPr>
            <w:r/>
            <w:r>
              <w:rPr>
                <w:rFonts w:ascii="Aptos" w:hAnsi="Aptos"/>
                <w:b/>
                <w:color w:val="FFFFFF"/>
                <w:sz w:val="16"/>
              </w:rPr>
              <w:t>Claude</w:t>
            </w:r>
          </w:p>
        </w:tc>
        <w:tc>
          <w:tcPr>
            <w:tcW w:type="dxa" w:w="2045"/>
            <w:vAlign w:val="center"/>
            <w:shd w:fill="1F4E78"/>
          </w:tcPr>
          <w:p>
            <w:pPr>
              <w:spacing w:after="0" w:before="0"/>
            </w:pPr>
            <w:r/>
            <w:r>
              <w:rPr>
                <w:rFonts w:ascii="Aptos" w:hAnsi="Aptos"/>
                <w:b/>
                <w:color w:val="FFFFFF"/>
                <w:sz w:val="16"/>
              </w:rPr>
              <w:t>Gemini</w:t>
            </w:r>
          </w:p>
        </w:tc>
        <w:tc>
          <w:tcPr>
            <w:tcW w:type="dxa" w:w="2045"/>
            <w:vAlign w:val="center"/>
            <w:shd w:fill="1F4E78"/>
          </w:tcPr>
          <w:p>
            <w:pPr>
              <w:spacing w:after="0" w:before="0"/>
            </w:pPr>
            <w:r/>
            <w:r>
              <w:rPr>
                <w:rFonts w:ascii="Aptos" w:hAnsi="Aptos"/>
                <w:b/>
                <w:color w:val="FFFFFF"/>
                <w:sz w:val="16"/>
              </w:rPr>
              <w:t>ChatGPT</w:t>
            </w:r>
          </w:p>
        </w:tc>
        <w:tc>
          <w:tcPr>
            <w:tcW w:type="dxa" w:w="2045"/>
            <w:vAlign w:val="center"/>
            <w:shd w:fill="1F4E78"/>
          </w:tcPr>
          <w:p>
            <w:pPr>
              <w:spacing w:after="0" w:before="0"/>
            </w:pPr>
            <w:r/>
            <w:r>
              <w:rPr>
                <w:rFonts w:ascii="Aptos" w:hAnsi="Aptos"/>
                <w:b/>
                <w:color w:val="FFFFFF"/>
                <w:sz w:val="16"/>
              </w:rPr>
              <w:t>Main variation</w:t>
            </w:r>
          </w:p>
        </w:tc>
      </w:tr>
      <w:tr>
        <w:tc>
          <w:tcPr>
            <w:tcW w:type="dxa" w:w="2045"/>
            <w:vAlign w:val="center"/>
          </w:tcPr>
          <w:p>
            <w:pPr>
              <w:spacing w:after="0" w:before="0"/>
            </w:pPr>
            <w:r/>
            <w:r>
              <w:rPr>
                <w:rFonts w:ascii="Aptos" w:hAnsi="Aptos"/>
                <w:b w:val="0"/>
                <w:sz w:val="15"/>
              </w:rPr>
              <w:t>Company calibration</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Low–Medium</w:t>
            </w:r>
          </w:p>
        </w:tc>
        <w:tc>
          <w:tcPr>
            <w:tcW w:type="dxa" w:w="2045"/>
            <w:vAlign w:val="center"/>
          </w:tcPr>
          <w:p>
            <w:pPr>
              <w:spacing w:after="0" w:before="0"/>
            </w:pPr>
            <w:r/>
            <w:r>
              <w:rPr>
                <w:rFonts w:ascii="Aptos" w:hAnsi="Aptos"/>
                <w:b w:val="0"/>
                <w:sz w:val="15"/>
              </w:rPr>
              <w:t>Medium</w:t>
            </w:r>
          </w:p>
        </w:tc>
        <w:tc>
          <w:tcPr>
            <w:tcW w:type="dxa" w:w="2045"/>
            <w:vAlign w:val="center"/>
          </w:tcPr>
          <w:p>
            <w:pPr>
              <w:spacing w:after="0" w:before="0"/>
            </w:pPr>
            <w:r/>
            <w:r>
              <w:rPr>
                <w:rFonts w:ascii="Aptos" w:hAnsi="Aptos"/>
                <w:b w:val="0"/>
                <w:sz w:val="15"/>
              </w:rPr>
              <w:t>How much Lucky-specific public context is used</w:t>
            </w:r>
          </w:p>
        </w:tc>
      </w:tr>
      <w:tr>
        <w:tc>
          <w:tcPr>
            <w:tcW w:type="dxa" w:w="2045"/>
            <w:vAlign w:val="center"/>
          </w:tcPr>
          <w:p>
            <w:pPr>
              <w:spacing w:after="0" w:before="0"/>
            </w:pPr>
            <w:r/>
            <w:r>
              <w:rPr>
                <w:rFonts w:ascii="Aptos" w:hAnsi="Aptos"/>
                <w:b w:val="0"/>
                <w:sz w:val="15"/>
              </w:rPr>
              <w:t>Supplier granularity</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Medium</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Which inputs are treated as separate tiers/categories</w:t>
            </w:r>
          </w:p>
        </w:tc>
      </w:tr>
      <w:tr>
        <w:tc>
          <w:tcPr>
            <w:tcW w:type="dxa" w:w="2045"/>
            <w:vAlign w:val="center"/>
          </w:tcPr>
          <w:p>
            <w:pPr>
              <w:spacing w:after="0" w:before="0"/>
            </w:pPr>
            <w:r/>
            <w:r>
              <w:rPr>
                <w:rFonts w:ascii="Aptos" w:hAnsi="Aptos"/>
                <w:b w:val="0"/>
                <w:sz w:val="15"/>
              </w:rPr>
              <w:t>Sourcing specificity</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Low–Medium</w:t>
            </w:r>
          </w:p>
        </w:tc>
        <w:tc>
          <w:tcPr>
            <w:tcW w:type="dxa" w:w="2045"/>
            <w:vAlign w:val="center"/>
          </w:tcPr>
          <w:p>
            <w:pPr>
              <w:spacing w:after="0" w:before="0"/>
            </w:pPr>
            <w:r/>
            <w:r>
              <w:rPr>
                <w:rFonts w:ascii="Aptos" w:hAnsi="Aptos"/>
                <w:b w:val="0"/>
                <w:sz w:val="15"/>
              </w:rPr>
              <w:t>Confidence in plausible origin countries</w:t>
            </w:r>
          </w:p>
        </w:tc>
      </w:tr>
      <w:tr>
        <w:tc>
          <w:tcPr>
            <w:tcW w:type="dxa" w:w="2045"/>
            <w:vAlign w:val="center"/>
          </w:tcPr>
          <w:p>
            <w:pPr>
              <w:spacing w:after="0" w:before="0"/>
            </w:pPr>
            <w:r/>
            <w:r>
              <w:rPr>
                <w:rFonts w:ascii="Aptos" w:hAnsi="Aptos"/>
                <w:b w:val="0"/>
                <w:sz w:val="15"/>
              </w:rPr>
              <w:t>Process detail</w:t>
            </w:r>
          </w:p>
        </w:tc>
        <w:tc>
          <w:tcPr>
            <w:tcW w:type="dxa" w:w="2045"/>
            <w:vAlign w:val="center"/>
          </w:tcPr>
          <w:p>
            <w:pPr>
              <w:spacing w:after="0" w:before="0"/>
            </w:pPr>
            <w:r/>
            <w:r>
              <w:rPr>
                <w:rFonts w:ascii="Aptos" w:hAnsi="Aptos"/>
                <w:b w:val="0"/>
                <w:sz w:val="15"/>
              </w:rPr>
              <w:t>Medium–High</w:t>
            </w:r>
          </w:p>
        </w:tc>
        <w:tc>
          <w:tcPr>
            <w:tcW w:type="dxa" w:w="2045"/>
            <w:vAlign w:val="center"/>
          </w:tcPr>
          <w:p>
            <w:pPr>
              <w:spacing w:after="0" w:before="0"/>
            </w:pPr>
            <w:r/>
            <w:r>
              <w:rPr>
                <w:rFonts w:ascii="Aptos" w:hAnsi="Aptos"/>
                <w:b w:val="0"/>
                <w:sz w:val="15"/>
              </w:rPr>
              <w:t>Medium–High</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Engineering depth inside manufacturing</w:t>
            </w:r>
          </w:p>
        </w:tc>
      </w:tr>
      <w:tr>
        <w:tc>
          <w:tcPr>
            <w:tcW w:type="dxa" w:w="2045"/>
            <w:vAlign w:val="center"/>
          </w:tcPr>
          <w:p>
            <w:pPr>
              <w:spacing w:after="0" w:before="0"/>
            </w:pPr>
            <w:r/>
            <w:r>
              <w:rPr>
                <w:rFonts w:ascii="Aptos" w:hAnsi="Aptos"/>
                <w:b w:val="0"/>
                <w:sz w:val="15"/>
              </w:rPr>
              <w:t>Domestic channel detail</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All similar, but emphasize different customer channels</w:t>
            </w:r>
          </w:p>
        </w:tc>
      </w:tr>
      <w:tr>
        <w:tc>
          <w:tcPr>
            <w:tcW w:type="dxa" w:w="2045"/>
            <w:vAlign w:val="center"/>
          </w:tcPr>
          <w:p>
            <w:pPr>
              <w:spacing w:after="0" w:before="0"/>
            </w:pPr>
            <w:r/>
            <w:r>
              <w:rPr>
                <w:rFonts w:ascii="Aptos" w:hAnsi="Aptos"/>
                <w:b w:val="0"/>
                <w:sz w:val="15"/>
              </w:rPr>
              <w:t>Export detail</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Low–Medium</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Degree to which export routing is separately mapped</w:t>
            </w:r>
          </w:p>
        </w:tc>
      </w:tr>
      <w:tr>
        <w:tc>
          <w:tcPr>
            <w:tcW w:type="dxa" w:w="2045"/>
            <w:vAlign w:val="center"/>
          </w:tcPr>
          <w:p>
            <w:pPr>
              <w:spacing w:after="0" w:before="0"/>
            </w:pPr>
            <w:r/>
            <w:r>
              <w:rPr>
                <w:rFonts w:ascii="Aptos" w:hAnsi="Aptos"/>
                <w:b w:val="0"/>
                <w:sz w:val="15"/>
              </w:rPr>
              <w:t>Financial-flow specificity</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Medium</w:t>
            </w:r>
          </w:p>
        </w:tc>
        <w:tc>
          <w:tcPr>
            <w:tcW w:type="dxa" w:w="2045"/>
            <w:vAlign w:val="center"/>
          </w:tcPr>
          <w:p>
            <w:pPr>
              <w:spacing w:after="0" w:before="0"/>
            </w:pPr>
            <w:r/>
            <w:r>
              <w:rPr>
                <w:rFonts w:ascii="Aptos" w:hAnsi="Aptos"/>
                <w:b w:val="0"/>
                <w:sz w:val="15"/>
              </w:rPr>
              <w:t>Specific payment mechanisms vs cautious generic terms</w:t>
            </w:r>
          </w:p>
        </w:tc>
      </w:tr>
      <w:tr>
        <w:tc>
          <w:tcPr>
            <w:tcW w:type="dxa" w:w="2045"/>
            <w:vAlign w:val="center"/>
          </w:tcPr>
          <w:p>
            <w:pPr>
              <w:spacing w:after="0" w:before="0"/>
            </w:pPr>
            <w:r/>
            <w:r>
              <w:rPr>
                <w:rFonts w:ascii="Aptos" w:hAnsi="Aptos"/>
                <w:b w:val="0"/>
                <w:sz w:val="15"/>
              </w:rPr>
              <w:t>Lead-time granularity</w:t>
            </w:r>
          </w:p>
        </w:tc>
        <w:tc>
          <w:tcPr>
            <w:tcW w:type="dxa" w:w="2045"/>
            <w:vAlign w:val="center"/>
          </w:tcPr>
          <w:p>
            <w:pPr>
              <w:spacing w:after="0" w:before="0"/>
            </w:pPr>
            <w:r/>
            <w:r>
              <w:rPr>
                <w:rFonts w:ascii="Aptos" w:hAnsi="Aptos"/>
                <w:b w:val="0"/>
                <w:sz w:val="15"/>
              </w:rPr>
              <w:t>Medium</w:t>
            </w:r>
          </w:p>
        </w:tc>
        <w:tc>
          <w:tcPr>
            <w:tcW w:type="dxa" w:w="2045"/>
            <w:vAlign w:val="center"/>
          </w:tcPr>
          <w:p>
            <w:pPr>
              <w:spacing w:after="0" w:before="0"/>
            </w:pPr>
            <w:r/>
            <w:r>
              <w:rPr>
                <w:rFonts w:ascii="Aptos" w:hAnsi="Aptos"/>
                <w:b w:val="0"/>
                <w:sz w:val="15"/>
              </w:rPr>
              <w:t>Medium</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Number of separate logistics links estimated</w:t>
            </w:r>
          </w:p>
        </w:tc>
      </w:tr>
      <w:tr>
        <w:tc>
          <w:tcPr>
            <w:tcW w:type="dxa" w:w="2045"/>
            <w:vAlign w:val="center"/>
          </w:tcPr>
          <w:p>
            <w:pPr>
              <w:spacing w:after="0" w:before="0"/>
            </w:pPr>
            <w:r/>
            <w:r>
              <w:rPr>
                <w:rFonts w:ascii="Aptos" w:hAnsi="Aptos"/>
                <w:b w:val="0"/>
                <w:sz w:val="15"/>
              </w:rPr>
              <w:t>Caution/qualification</w:t>
            </w:r>
          </w:p>
        </w:tc>
        <w:tc>
          <w:tcPr>
            <w:tcW w:type="dxa" w:w="2045"/>
            <w:vAlign w:val="center"/>
          </w:tcPr>
          <w:p>
            <w:pPr>
              <w:spacing w:after="0" w:before="0"/>
            </w:pPr>
            <w:r/>
            <w:r>
              <w:rPr>
                <w:rFonts w:ascii="Aptos" w:hAnsi="Aptos"/>
                <w:b w:val="0"/>
                <w:sz w:val="15"/>
              </w:rPr>
              <w:t>High</w:t>
            </w:r>
          </w:p>
        </w:tc>
        <w:tc>
          <w:tcPr>
            <w:tcW w:type="dxa" w:w="2045"/>
            <w:vAlign w:val="center"/>
          </w:tcPr>
          <w:p>
            <w:pPr>
              <w:spacing w:after="0" w:before="0"/>
            </w:pPr>
            <w:r/>
            <w:r>
              <w:rPr>
                <w:rFonts w:ascii="Aptos" w:hAnsi="Aptos"/>
                <w:b w:val="0"/>
                <w:sz w:val="15"/>
              </w:rPr>
              <w:t>Medium</w:t>
            </w:r>
          </w:p>
        </w:tc>
        <w:tc>
          <w:tcPr>
            <w:tcW w:type="dxa" w:w="2045"/>
            <w:vAlign w:val="center"/>
          </w:tcPr>
          <w:p>
            <w:pPr>
              <w:spacing w:after="0" w:before="0"/>
            </w:pPr>
            <w:r/>
            <w:r>
              <w:rPr>
                <w:rFonts w:ascii="Aptos" w:hAnsi="Aptos"/>
                <w:b w:val="0"/>
                <w:sz w:val="15"/>
              </w:rPr>
              <w:t>Very High</w:t>
            </w:r>
          </w:p>
        </w:tc>
        <w:tc>
          <w:tcPr>
            <w:tcW w:type="dxa" w:w="2045"/>
            <w:vAlign w:val="center"/>
          </w:tcPr>
          <w:p>
            <w:pPr>
              <w:spacing w:after="0" w:before="0"/>
            </w:pPr>
            <w:r/>
            <w:r>
              <w:rPr>
                <w:rFonts w:ascii="Aptos" w:hAnsi="Aptos"/>
                <w:b w:val="0"/>
                <w:sz w:val="15"/>
              </w:rPr>
              <w:t>Strength of disclaimers around unverifiable company specifics</w:t>
            </w:r>
          </w:p>
        </w:tc>
      </w:tr>
    </w:tbl>
    <w:p>
      <w:pPr>
        <w:pStyle w:val="Heading1"/>
      </w:pPr>
      <w:r>
        <w:t>5. Overall Interpretation</w:t>
      </w:r>
    </w:p>
    <w:p>
      <w:pPr>
        <w:spacing w:after="120"/>
      </w:pPr>
      <w:r>
        <w:t>The three outputs should be viewed as three versions of the same illustrative model rather than three fundamentally different supply chains. Their strongest agreement is on the physical logic of cement production and distribution. Their biggest differences occur where public information is limited: exact supplier origins, payment practices, network ownership, and lead times. Therefore, disagreement between the responses mostly reflects different assumptions and levels of caution rather than direct contradiction.</w:t>
      </w:r>
    </w:p>
    <w:p>
      <w:r>
        <w:rPr>
          <w:b/>
        </w:rPr>
        <w:t xml:space="preserve">Overall one-line reason for the variation: </w:t>
      </w:r>
      <w:r>
        <w:t>Each AI interpreted the same illustrative task with a different balance of company-specific inference, generic cement-industry knowledge, technical detail, and caution about unverifiable internal data.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Lucky Cement AI Supply Chain Response Comparison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