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Illustrative Supply Chain Map — Lucky Cement (Cement)</w:t>
      </w:r>
    </w:p>
    <w:p>
      <w:pPr>
        <w:spacing w:after="200"/>
      </w:pPr>
      <w:r>
        <w:rPr>
          <w:rFonts w:ascii="Calibri" w:cs="Calibri" w:eastAsia="Calibri" w:hAnsi="Calibri"/>
          <w:i/>
          <w:iCs/>
          <w:color w:val="555555"/>
          <w:sz w:val="22"/>
          <w:szCs w:val="22"/>
        </w:rPr>
        <w:t xml:space="preserve">Supply Chain Analytics — Semester Project</w:t>
      </w:r>
    </w:p>
    <w:p>
      <w:pPr>
        <w:pBdr>
          <w:bottom w:val="single" w:color="888888" w:sz="6" w:space="4"/>
        </w:pBdr>
        <w:spacing w:after="200"/>
      </w:pPr>
      <w:r>
        <w:rPr>
          <w:rFonts w:ascii="Calibri" w:cs="Calibri" w:eastAsia="Calibri" w:hAnsi="Calibri"/>
          <w:b/>
          <w:bCs/>
          <w:i/>
          <w:iCs/>
          <w:sz w:val="22"/>
          <w:szCs w:val="22"/>
        </w:rPr>
        <w:t xml:space="preserve">Illustrative supply chain map, calibrated to Lucky Cement's disclosed sector and scale — not actual company supplier, distribution, or process information.</w:t>
      </w:r>
    </w:p>
    <w:p>
      <w:pPr>
        <w:pStyle w:val="Heading2"/>
        <w:spacing w:after="100" w:before="200"/>
      </w:pPr>
      <w:r>
        <w:t xml:space="preserve">Calibration Facts Used</w:t>
      </w:r>
    </w:p>
    <w:p>
      <w:pPr>
        <w:spacing w:after="150"/>
      </w:pPr>
      <w:r>
        <w:rPr>
          <w:rFonts w:ascii="Calibri" w:cs="Calibri" w:eastAsia="Calibri" w:hAnsi="Calibri"/>
          <w:b w:val="false"/>
          <w:bCs w:val="false"/>
          <w:i w:val="false"/>
          <w:iCs w:val="false"/>
          <w:sz w:val="22"/>
          <w:szCs w:val="22"/>
        </w:rPr>
        <w:t xml:space="preserve">Lucky Cement is Pakistan's largest cement producer (approximately 15.3 MTPA capacity), operating two plants — Pezu (Khyber Pakhtunkhwa, serving northern markets) and Karachi (Main Super Highway, serving southern markets and exports). The company runs a dedicated export terminal at Karachi Port and exports to Africa, Bangladesh, Sri Lanka, the United States, and Brazil (over 3 million tons exported in FY25), alongside a strong domestic distribution network of dealers. FY2025 revenue was approximately Rs. 450 billion — consistent with a large, national/multinational player.</w:t>
      </w:r>
    </w:p>
    <w:p>
      <w:pPr>
        <w:pStyle w:val="Heading1"/>
        <w:spacing w:after="150" w:before="300"/>
      </w:pPr>
      <w:r>
        <w:t xml:space="preserve">1. Upstream (Tier 2 and Tier 1 Suppliers)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Raw Material Category</w:t>
            </w:r>
          </w:p>
        </w:tc>
        <w:tc>
          <w:tcPr>
            <w:tcW w:type="dxa" w:w="36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Tier 1 Supplier (converts input)</w:t>
            </w:r>
          </w:p>
        </w:tc>
        <w:tc>
          <w:tcPr>
            <w:tcW w:type="dxa" w:w="36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Tier 2 Source (origin)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Limestone &amp; clay</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Company-owned/adjacent quarry operators who crush and transport raw rock to the plant</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Domestic — quarried near Pezu (KPK) and Karachi/Jamshoro (Sindh), since limestone is heavy and not economical to import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Gypsum</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Local mineral trading/mining firms supplying crushed gypsum for cement grinding</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Domestic (Sindh/Balochistan deposits), with occasional imports from Iran or the UAE when local supply is tight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Coal / alternative fuel (kiln firing)</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Coal importers/traders and local coal blending yards near Karachi Port</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Imported — primarily South Africa, Indonesia, or Afghanistan (cross-border coal)</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Packaging (woven PP / paper bags)</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Domestic bag manufacturing units supplying woven polypropylene or paper sacks</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Imported PP resin (Middle East/China) converted domestically into bags</w:t>
            </w:r>
          </w:p>
        </w:tc>
      </w:tr>
    </w:tbl>
    <w:p>
      <w:pPr>
        <w:pStyle w:val="Heading1"/>
        <w:spacing w:after="150" w:before="300"/>
      </w:pPr>
      <w:r>
        <w:t xml:space="preserve">2. Manufacturing (Internal Operations)</w:t>
      </w:r>
    </w:p>
    <w:p>
      <w:pPr>
        <w:pStyle w:val="ListParagraph"/>
        <w:numPr>
          <w:ilvl w:val="0"/>
          <w:numId w:val="2"/>
        </w:numPr>
        <w:spacing w:after="80"/>
      </w:pPr>
      <w:r>
        <w:rPr>
          <w:rFonts w:ascii="Calibri" w:cs="Calibri" w:eastAsia="Calibri" w:hAnsi="Calibri"/>
          <w:sz w:val="22"/>
          <w:szCs w:val="22"/>
        </w:rPr>
        <w:t xml:space="preserve">Quarrying &amp; crushing — limestone and clay extracted and crushed to raw feed size</w:t>
      </w:r>
    </w:p>
    <w:p>
      <w:pPr>
        <w:pStyle w:val="ListParagraph"/>
        <w:numPr>
          <w:ilvl w:val="0"/>
          <w:numId w:val="2"/>
        </w:numPr>
        <w:spacing w:after="80"/>
      </w:pPr>
      <w:r>
        <w:rPr>
          <w:rFonts w:ascii="Calibri" w:cs="Calibri" w:eastAsia="Calibri" w:hAnsi="Calibri"/>
          <w:sz w:val="22"/>
          <w:szCs w:val="22"/>
        </w:rPr>
        <w:t xml:space="preserve">Raw meal grinding &amp; blending — raw materials ground and proportioned into “raw meal”</w:t>
      </w:r>
    </w:p>
    <w:p>
      <w:pPr>
        <w:pStyle w:val="ListParagraph"/>
        <w:numPr>
          <w:ilvl w:val="0"/>
          <w:numId w:val="2"/>
        </w:numPr>
        <w:spacing w:after="80"/>
      </w:pPr>
      <w:r>
        <w:rPr>
          <w:rFonts w:ascii="Calibri" w:cs="Calibri" w:eastAsia="Calibri" w:hAnsi="Calibri"/>
          <w:sz w:val="22"/>
          <w:szCs w:val="22"/>
        </w:rPr>
        <w:t xml:space="preserve">Clinkerization (kiln firing) — raw meal heated to approximately 1,450°C in rotary kilns to form clinker</w:t>
      </w:r>
    </w:p>
    <w:p>
      <w:pPr>
        <w:pStyle w:val="ListParagraph"/>
        <w:numPr>
          <w:ilvl w:val="0"/>
          <w:numId w:val="2"/>
        </w:numPr>
        <w:spacing w:after="80"/>
      </w:pPr>
      <w:r>
        <w:rPr>
          <w:rFonts w:ascii="Calibri" w:cs="Calibri" w:eastAsia="Calibri" w:hAnsi="Calibri"/>
          <w:sz w:val="22"/>
          <w:szCs w:val="22"/>
        </w:rPr>
        <w:t xml:space="preserve">Cement grinding — clinker blended with gypsum (and additives) and ground into finished cement</w:t>
      </w:r>
    </w:p>
    <w:p>
      <w:pPr>
        <w:pStyle w:val="ListParagraph"/>
        <w:numPr>
          <w:ilvl w:val="0"/>
          <w:numId w:val="2"/>
        </w:numPr>
        <w:spacing w:after="80"/>
      </w:pPr>
      <w:r>
        <w:rPr>
          <w:rFonts w:ascii="Calibri" w:cs="Calibri" w:eastAsia="Calibri" w:hAnsi="Calibri"/>
          <w:sz w:val="22"/>
          <w:szCs w:val="22"/>
        </w:rPr>
        <w:t xml:space="preserve">Packaging &amp; dispatch — cement bagged (or loaded loose for bulk export) and staged for outbound transport</w:t>
      </w:r>
    </w:p>
    <w:p>
      <w:pPr>
        <w:spacing w:after="150"/>
      </w:pPr>
      <w:r>
        <w:rPr>
          <w:rFonts w:ascii="Calibri" w:cs="Calibri" w:eastAsia="Calibri" w:hAnsi="Calibri"/>
          <w:b w:val="false"/>
          <w:bCs w:val="false"/>
          <w:i w:val="false"/>
          <w:iCs w:val="false"/>
          <w:sz w:val="22"/>
          <w:szCs w:val="22"/>
        </w:rPr>
        <w:t xml:space="preserve">Bottleneck: Clinkerization (kiln firing) is the most time- and energy-intensive stage. Kilns run continuously, require sustained high fuel input, and any downtime (maintenance, fuel shortage) directly throttles the entire plant's output, since downstream grinding capacity is typically sized to match kiln clinker output.</w:t>
      </w:r>
    </w:p>
    <w:p>
      <w:pPr>
        <w:pStyle w:val="Heading1"/>
        <w:spacing w:after="150" w:before="300"/>
      </w:pPr>
      <w:r>
        <w:t xml:space="preserve">3. Downstream (Distribution to Customer)</w:t>
      </w:r>
    </w:p>
    <w:p>
      <w:pPr>
        <w:spacing w:after="150"/>
      </w:pPr>
      <w:r>
        <w:rPr>
          <w:rFonts w:ascii="Calibri" w:cs="Calibri" w:eastAsia="Calibri" w:hAnsi="Calibri"/>
          <w:b w:val="false"/>
          <w:bCs w:val="false"/>
          <w:i w:val="false"/>
          <w:iCs w:val="false"/>
          <w:sz w:val="22"/>
          <w:szCs w:val="22"/>
        </w:rPr>
        <w:t xml:space="preserve">Cement plausibly moves: Factory → Regional stockpoints/depots (especially the export terminal at Karachi Port, and inland depots near Pezu for northern reach) → Authorized dealers/distributors (a reported network of 200+) → Retail hardware/building-material shops → End customer (contractor or individual buyer).</w:t>
      </w:r>
    </w:p>
    <w:p>
      <w:pPr>
        <w:spacing w:after="150"/>
      </w:pPr>
      <w:r>
        <w:rPr>
          <w:rFonts w:ascii="Calibri" w:cs="Calibri" w:eastAsia="Calibri" w:hAnsi="Calibri"/>
          <w:b w:val="false"/>
          <w:bCs w:val="false"/>
          <w:i w:val="false"/>
          <w:iCs w:val="false"/>
          <w:sz w:val="22"/>
          <w:szCs w:val="22"/>
        </w:rPr>
        <w:t xml:space="preserve">For export volumes, the path shortens: Factory → Karachi Port export terminal → Ocean freight → Overseas distributor/importer → Local retailer (destination country).</w:t>
      </w:r>
    </w:p>
    <w:p>
      <w:pPr>
        <w:spacing w:after="150"/>
      </w:pPr>
      <w:r>
        <w:rPr>
          <w:rFonts w:ascii="Calibri" w:cs="Calibri" w:eastAsia="Calibri" w:hAnsi="Calibri"/>
          <w:b w:val="false"/>
          <w:bCs w:val="false"/>
          <w:i w:val="false"/>
          <w:iCs w:val="false"/>
          <w:sz w:val="22"/>
          <w:szCs w:val="22"/>
        </w:rPr>
        <w:t xml:space="preserve">Roughly 3 tiers for domestic sales (depot → dealer → retailer) before reaching the end customer; 2–3 tiers for exports depending on the destination market's import/distribution structure.</w:t>
      </w:r>
    </w:p>
    <w:p>
      <w:pPr>
        <w:pStyle w:val="Heading1"/>
        <w:spacing w:after="150" w:before="300"/>
      </w:pPr>
      <w:r>
        <w:t xml:space="preserve">4. Information &amp; Financial Flow</w:t>
      </w:r>
    </w:p>
    <w:p>
      <w:pPr>
        <w:pStyle w:val="ListParagraph"/>
        <w:numPr>
          <w:ilvl w:val="0"/>
          <w:numId w:val="3"/>
        </w:numPr>
        <w:spacing w:after="80"/>
      </w:pPr>
      <w:r>
        <w:rPr>
          <w:rFonts w:ascii="Calibri" w:cs="Calibri" w:eastAsia="Calibri" w:hAnsi="Calibri"/>
          <w:sz w:val="22"/>
          <w:szCs w:val="22"/>
        </w:rPr>
        <w:t xml:space="preserve">Information flow: Retail-level demand signals (construction activity, seasonal buying) flow backward as retailer orders to dealers, who consolidate and place orders with the company's regional sales offices, which feed into plant production and dispatch planning.</w:t>
      </w:r>
    </w:p>
    <w:p>
      <w:pPr>
        <w:pStyle w:val="ListParagraph"/>
        <w:numPr>
          <w:ilvl w:val="0"/>
          <w:numId w:val="3"/>
        </w:numPr>
        <w:spacing w:after="80"/>
      </w:pPr>
      <w:r>
        <w:rPr>
          <w:rFonts w:ascii="Calibri" w:cs="Calibri" w:eastAsia="Calibri" w:hAnsi="Calibri"/>
          <w:sz w:val="22"/>
          <w:szCs w:val="22"/>
        </w:rPr>
        <w:t xml:space="preserve">Payment flow: Dealers typically pay in advance or on short credit terms against dispatch (common in Pakistan's cement trade to manage receivables risk), while large infrastructure/institutional buyers and export customers may work on negotiated credit terms or letters of credit.</w:t>
      </w:r>
    </w:p>
    <w:p>
      <w:pPr>
        <w:pStyle w:val="Heading1"/>
        <w:spacing w:after="150" w:before="300"/>
      </w:pPr>
      <w:r>
        <w:t xml:space="preserve">5. Text Diagram</w:t>
      </w:r>
    </w:p>
    <w:p>
      <w:pPr>
        <w:shd w:fill="F2F2F2" w:color="auto" w:val="clear"/>
        <w:spacing w:after="60"/>
      </w:pPr>
      <w:r>
        <w:rPr>
          <w:rFonts w:ascii="Consolas" w:cs="Consolas" w:eastAsia="Consolas" w:hAnsi="Consolas"/>
          <w:sz w:val="20"/>
          <w:szCs w:val="20"/>
        </w:rPr>
        <w:t xml:space="preserve">Limestone/Clay Quarry (domestic) -&gt; On-site Quarrying -&gt; Lucky Cement Plant (Pezu/Karachi)</w:t>
      </w:r>
    </w:p>
    <w:p>
      <w:pPr>
        <w:shd w:fill="F2F2F2" w:color="auto" w:val="clear"/>
        <w:spacing w:after="60"/>
      </w:pPr>
      <w:r>
        <w:rPr>
          <w:rFonts w:ascii="Consolas" w:cs="Consolas" w:eastAsia="Consolas" w:hAnsi="Consolas"/>
          <w:sz w:val="20"/>
          <w:szCs w:val="20"/>
        </w:rPr>
        <w:t xml:space="preserve">   [+ Imported Coal, Gypsum, Packaging inputs feed in at grinding/packaging stages]</w:t>
      </w:r>
    </w:p>
    <w:p>
      <w:pPr>
        <w:shd w:fill="F2F2F2" w:color="auto" w:val="clear"/>
        <w:spacing w:after="60"/>
      </w:pPr>
      <w:r>
        <w:rPr>
          <w:rFonts w:ascii="Consolas" w:cs="Consolas" w:eastAsia="Consolas" w:hAnsi="Consolas"/>
          <w:sz w:val="20"/>
          <w:szCs w:val="20"/>
        </w:rPr>
        <w:t xml:space="preserve">-&gt; Regional Depot / Export Terminal (Karachi Port) -&gt; Dealer/Distributor -&gt; Retailer -&gt; End Customer</w:t>
      </w:r>
    </w:p>
    <w:p>
      <w:pPr>
        <w:pStyle w:val="Heading1"/>
        <w:spacing w:after="150" w:before="300"/>
      </w:pPr>
      <w:r>
        <w:t xml:space="preserve">6. Lead Time Estimates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Link</w:t>
            </w:r>
          </w:p>
        </w:tc>
        <w:tc>
          <w:tcPr>
            <w:tcW w:type="dxa" w:w="22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Estimated Lead Time</w:t>
            </w:r>
          </w:p>
        </w:tc>
        <w:tc>
          <w:tcPr>
            <w:tcW w:type="dxa" w:w="4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Reasoning</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Raw material (coal/gypsum) supplier → Factory</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15–35 days (imported); 2–5 days (domestic)</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Imported coal/gypsum requires ocean freight and port clearance; domestic quarry material is near-continuous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Factory → Regional Depot/Port terminal</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1–3 days</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Short haul by road/rail within the same region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Depot/Port → Dealer/Overseas distributor</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2–7 days domestic; 10–25 days export</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Domestic trucking is fast; export shipments depend on vessel schedules and destination distance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Dealer → Retailer</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1–2 days</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Local last-mile trucking, typically within the same city/region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Retailer → End customer</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day – 2 days</w:t>
            </w:r>
          </w:p>
        </w:tc>
        <w:tc>
          <w:tcPr>
            <w:tcW w:type="dxa" w:w="4400"/>
            <w:tcMar>
              <w:top w:type="dxa" w:w="80"/>
              <w:left w:type="dxa" w:w="100"/>
              <w:bottom w:type="dxa" w:w="80"/>
              <w:right w:type="dxa" w:w="100"/>
            </w:tcMar>
          </w:tcPr>
          <w:p>
            <w:r>
              <w:rPr>
                <w:rFonts w:ascii="Calibri" w:cs="Calibri" w:eastAsia="Calibri" w:hAnsi="Calibri"/>
                <w:b w:val="false"/>
                <w:bCs w:val="false"/>
                <w:color w:val="000000"/>
                <w:sz w:val="20"/>
                <w:szCs w:val="20"/>
              </w:rPr>
              <w:t xml:space="preserve">Walk-in or short-notice contractor pickup/delivery</w:t>
            </w:r>
          </w:p>
        </w:tc>
      </w:tr>
    </w:tbl>
    <w:p>
      <w:pPr>
        <w:pStyle w:val="Heading1"/>
        <w:spacing w:after="150" w:before="300"/>
      </w:pPr>
      <w:r>
        <w:t xml:space="preserve">Assumptions</w:t>
      </w:r>
    </w:p>
    <w:p>
      <w:pPr>
        <w:spacing w:after="150"/>
      </w:pPr>
      <w:r>
        <w:rPr>
          <w:rFonts w:ascii="Calibri" w:cs="Calibri" w:eastAsia="Calibri" w:hAnsi="Calibri"/>
          <w:b w:val="false"/>
          <w:bCs w:val="false"/>
          <w:i w:val="false"/>
          <w:iCs w:val="false"/>
          <w:sz w:val="22"/>
          <w:szCs w:val="22"/>
        </w:rPr>
        <w:t xml:space="preserve">This map assumes a fairly standard integrated cement manufacturing process and a conventional dealer-based distribution model, since Lucky Cement does not publicly disclose supplier names, exact input sourcing ratios, or granular logistics timings. The biggest uncertainties are the precise import mix for coal and gypsum (which shifts with global commodity prices and exchange rates) and the exact dealer/distributor tier structure, which likely varies by region and customer type (retail vs. institutional/government projects). A real internal supply chain map would show named supplier contracts, actual freight costs and modes (rail vs. road vs. sea), inventory buffer levels at each depot, and real order-to-delivery cycle times pulled from the company's ERP/logistics systems — none of which are publicly available and all of which this illustrative version can only approximate.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2026-09-17T18:39:58.904Z</dcterms:created>
  <dcterms:modified xsi:type="dcterms:W3CDTF">2026-09-17T18:39:58.913Z</dcterms:modified>
</cp:coreProperties>
</file>

<file path=docProps/custom.xml><?xml version="1.0" encoding="utf-8"?>
<Properties xmlns="http://schemas.openxmlformats.org/officeDocument/2006/custom-properties" xmlns:vt="http://schemas.openxmlformats.org/officeDocument/2006/docPropsVTypes"/>
</file>