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Illustrative supply chain map, calibrated to Lucky cement's disclosed sector and scale — not actual company supplier, distribution, or process information.</w:t>
      </w:r>
    </w:p>
    <w:p>
      <w:pPr>
        <w:jc w:val="center"/>
      </w:pPr>
      <w:r>
        <w:rPr>
          <w:b/>
        </w:rPr>
        <w:t>Lucky Cement — Illustrative Supply Chain Map for Cement</w:t>
      </w:r>
    </w:p>
    <w:p>
      <w:r>
        <w:rPr>
          <w:b/>
        </w:rPr>
        <w:t xml:space="preserve">Company context. </w:t>
      </w:r>
      <w:r>
        <w:t>Lucky Cement Limited operates in the cement manufacturing sector and is listed on the Pakistan Stock Exchange. Its disclosed manufacturing footprint includes major plants at Karachi and Pezu, Khyber Pakhtunkhwa. The company has a large production scale, domestic distribution/warehouse infrastructure, and export operations including a Karachi Port export terminal. This document is an academic illustration, not a claim about actual suppliers, routes, or internal processes.</w:t>
      </w:r>
    </w:p>
    <w:p>
      <w:pPr>
        <w:pStyle w:val="Heading1"/>
      </w:pPr>
      <w:r>
        <w:t>1. Upstream — Tier 2 and Tier 1 Suppliers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7"/>
              </w:rPr>
              <w:t>Major input</w:t>
            </w:r>
          </w:p>
        </w:tc>
        <w:tc>
          <w:tcPr>
            <w:tcW w:type="dxa" w:w="3456"/>
            <w:vAlign w:val="center"/>
            <w:shd w:fill="D9EAF7"/>
          </w:tcPr>
          <w:p>
            <w:r/>
            <w:r>
              <w:rPr>
                <w:b/>
                <w:sz w:val="17"/>
              </w:rPr>
              <w:t>Tier 1 supplier type</w:t>
            </w:r>
          </w:p>
        </w:tc>
        <w:tc>
          <w:tcPr>
            <w:tcW w:type="dxa" w:w="3456"/>
            <w:vAlign w:val="center"/>
            <w:shd w:fill="D9EAF7"/>
          </w:tcPr>
          <w:p>
            <w:r/>
            <w:r>
              <w:rPr>
                <w:b/>
                <w:sz w:val="17"/>
              </w:rPr>
              <w:t>Tier 2 source / plausible origin</w:t>
            </w:r>
          </w:p>
        </w:tc>
      </w:tr>
      <w:tr>
        <w:tc>
          <w:tcPr>
            <w:tcW w:type="dxa" w:w="3456"/>
            <w:vAlign w:val="center"/>
          </w:tcPr>
          <w:p>
            <w:r/>
            <w:r>
              <w:rPr>
                <w:b w:val="0"/>
                <w:sz w:val="17"/>
              </w:rPr>
              <w:t>Limestone</w:t>
            </w:r>
          </w:p>
        </w:tc>
        <w:tc>
          <w:tcPr>
            <w:tcW w:type="dxa" w:w="3456"/>
            <w:vAlign w:val="center"/>
          </w:tcPr>
          <w:p>
            <w:r/>
            <w:r>
              <w:rPr>
                <w:b w:val="0"/>
                <w:sz w:val="17"/>
              </w:rPr>
              <w:t>Quarry/mining operation supplying crushed limestone</w:t>
            </w:r>
          </w:p>
        </w:tc>
        <w:tc>
          <w:tcPr>
            <w:tcW w:type="dxa" w:w="3456"/>
            <w:vAlign w:val="center"/>
          </w:tcPr>
          <w:p>
            <w:r/>
            <w:r>
              <w:rPr>
                <w:b w:val="0"/>
                <w:sz w:val="17"/>
              </w:rPr>
              <w:t>Limestone deposits/quarries; primarily domestic and plausibly near manufacturing locations</w:t>
            </w:r>
          </w:p>
        </w:tc>
      </w:tr>
      <w:tr>
        <w:tc>
          <w:tcPr>
            <w:tcW w:type="dxa" w:w="3456"/>
            <w:vAlign w:val="center"/>
          </w:tcPr>
          <w:p>
            <w:r/>
            <w:r>
              <w:rPr>
                <w:b w:val="0"/>
                <w:sz w:val="17"/>
              </w:rPr>
              <w:t>Clay / shale / corrective minerals</w:t>
            </w:r>
          </w:p>
        </w:tc>
        <w:tc>
          <w:tcPr>
            <w:tcW w:type="dxa" w:w="3456"/>
            <w:vAlign w:val="center"/>
          </w:tcPr>
          <w:p>
            <w:r/>
            <w:r>
              <w:rPr>
                <w:b w:val="0"/>
                <w:sz w:val="17"/>
              </w:rPr>
              <w:t>Mineral supplier or quarry operator providing prepared mineral material</w:t>
            </w:r>
          </w:p>
        </w:tc>
        <w:tc>
          <w:tcPr>
            <w:tcW w:type="dxa" w:w="3456"/>
            <w:vAlign w:val="center"/>
          </w:tcPr>
          <w:p>
            <w:r/>
            <w:r>
              <w:rPr>
                <w:b w:val="0"/>
                <w:sz w:val="17"/>
              </w:rPr>
              <w:t>Domestic clay/shale and other mineral deposits</w:t>
            </w:r>
          </w:p>
        </w:tc>
      </w:tr>
      <w:tr>
        <w:tc>
          <w:tcPr>
            <w:tcW w:type="dxa" w:w="3456"/>
            <w:vAlign w:val="center"/>
          </w:tcPr>
          <w:p>
            <w:r/>
            <w:r>
              <w:rPr>
                <w:b w:val="0"/>
                <w:sz w:val="17"/>
              </w:rPr>
              <w:t>Gypsum</w:t>
            </w:r>
          </w:p>
        </w:tc>
        <w:tc>
          <w:tcPr>
            <w:tcW w:type="dxa" w:w="3456"/>
            <w:vAlign w:val="center"/>
          </w:tcPr>
          <w:p>
            <w:r/>
            <w:r>
              <w:rPr>
                <w:b w:val="0"/>
                <w:sz w:val="17"/>
              </w:rPr>
              <w:t>Gypsum processor/trader supplying cement-grade gypsum</w:t>
            </w:r>
          </w:p>
        </w:tc>
        <w:tc>
          <w:tcPr>
            <w:tcW w:type="dxa" w:w="3456"/>
            <w:vAlign w:val="center"/>
          </w:tcPr>
          <w:p>
            <w:r/>
            <w:r>
              <w:rPr>
                <w:b w:val="0"/>
                <w:sz w:val="17"/>
              </w:rPr>
              <w:t>Gypsum mines/quarries; domestic and/or imported depending on availability and quality</w:t>
            </w:r>
          </w:p>
        </w:tc>
      </w:tr>
      <w:tr>
        <w:tc>
          <w:tcPr>
            <w:tcW w:type="dxa" w:w="3456"/>
            <w:vAlign w:val="center"/>
          </w:tcPr>
          <w:p>
            <w:r/>
            <w:r>
              <w:rPr>
                <w:b w:val="0"/>
                <w:sz w:val="17"/>
              </w:rPr>
              <w:t>Coal / alternative fuel</w:t>
            </w:r>
          </w:p>
        </w:tc>
        <w:tc>
          <w:tcPr>
            <w:tcW w:type="dxa" w:w="3456"/>
            <w:vAlign w:val="center"/>
          </w:tcPr>
          <w:p>
            <w:r/>
            <w:r>
              <w:rPr>
                <w:b w:val="0"/>
                <w:sz w:val="17"/>
              </w:rPr>
              <w:t>Fuel supplier, coal trader or processed-fuel supplier</w:t>
            </w:r>
          </w:p>
        </w:tc>
        <w:tc>
          <w:tcPr>
            <w:tcW w:type="dxa" w:w="3456"/>
            <w:vAlign w:val="center"/>
          </w:tcPr>
          <w:p>
            <w:r/>
            <w:r>
              <w:rPr>
                <w:b w:val="0"/>
                <w:sz w:val="17"/>
              </w:rPr>
              <w:t>Domestic coal mines and/or imported fuel sources; alternative-fuel streams may also be used</w:t>
            </w:r>
          </w:p>
        </w:tc>
      </w:tr>
    </w:tbl>
    <w:p>
      <w:r>
        <w:rPr>
          <w:b/>
        </w:rPr>
        <w:t xml:space="preserve">Note: </w:t>
      </w:r>
      <w:r>
        <w:t>These are generic supplier categories, not named Lucky Cement suppliers. Public information does not establish that any specific supplier listed here supplies Lucky Cement.</w:t>
      </w:r>
    </w:p>
    <w:p>
      <w:pPr>
        <w:pStyle w:val="Heading1"/>
      </w:pPr>
      <w:r>
        <w:t>2. Manufacturing — Internal Operations</w:t>
      </w:r>
    </w:p>
    <w:p>
      <w:pPr>
        <w:pStyle w:val="ListNumber"/>
      </w:pPr>
      <w:r>
        <w:rPr>
          <w:b/>
        </w:rPr>
        <w:t xml:space="preserve">1. Quarrying, crushing and raw-material preparation: </w:t>
      </w:r>
      <w:r>
        <w:t>Limestone and other minerals are extracted, transported, crushed and proportioned to achieve the required chemical composition.</w:t>
      </w:r>
    </w:p>
    <w:p>
      <w:pPr>
        <w:pStyle w:val="ListNumber"/>
      </w:pPr>
      <w:r>
        <w:rPr>
          <w:b/>
        </w:rPr>
        <w:t xml:space="preserve">2. Raw grinding and homogenisation: </w:t>
      </w:r>
      <w:r>
        <w:t>Crushed materials are ground into fine raw meal and blended/homogenised for consistent chemistry.</w:t>
      </w:r>
    </w:p>
    <w:p>
      <w:pPr>
        <w:pStyle w:val="ListNumber"/>
      </w:pPr>
      <w:r>
        <w:rPr>
          <w:b/>
        </w:rPr>
        <w:t xml:space="preserve">3. Preheating, calcination and clinker production: </w:t>
      </w:r>
      <w:r>
        <w:t>Raw meal passes through the preheater/precalciner and rotary kiln, where high-temperature reactions form clinker.</w:t>
      </w:r>
    </w:p>
    <w:p>
      <w:pPr>
        <w:pStyle w:val="ListNumber"/>
      </w:pPr>
      <w:r>
        <w:rPr>
          <w:b/>
        </w:rPr>
        <w:t xml:space="preserve">4. Clinker cooling and cement grinding: </w:t>
      </w:r>
      <w:r>
        <w:t>Clinker is cooled and ground with gypsum and, where applicable, other permitted cementitious materials/additives to produce finished cement.</w:t>
      </w:r>
    </w:p>
    <w:p>
      <w:pPr>
        <w:pStyle w:val="ListNumber"/>
      </w:pPr>
      <w:r>
        <w:rPr>
          <w:b/>
        </w:rPr>
        <w:t xml:space="preserve">5. Storage, packing and dispatch: </w:t>
      </w:r>
      <w:r>
        <w:t>Finished cement is stored in silos and dispatched in bags or in bulk tankers/bulkers for domestic or export markets.</w:t>
      </w:r>
    </w:p>
    <w:p>
      <w:r>
        <w:rPr>
          <w:b/>
        </w:rPr>
        <w:t xml:space="preserve">Likely bottleneck — kiln/clinker production. </w:t>
      </w:r>
      <w:r>
        <w:t>The kiln system is a continuous, energy-intensive process operating at very high temperatures. Its thermal capacity and operating stability constrain clinker output, which in turn limits how much cement can ultimately be produced. Lucky Cement's emphasis on production efficiency, vertical cement mills and waste-heat-recovery systems is consistent with the importance of energy and process efficiency in cement manufacturing.</w:t>
      </w:r>
    </w:p>
    <w:p>
      <w:pPr>
        <w:pStyle w:val="Heading1"/>
      </w:pPr>
      <w:r>
        <w:t>3. Downstream — Distribution to Customer</w:t>
      </w:r>
    </w:p>
    <w:p>
      <w:r>
        <w:rPr>
          <w:b/>
        </w:rPr>
        <w:t xml:space="preserve">Domestic route: </w:t>
      </w:r>
      <w:r>
        <w:t>Cement can plausibly move from the Karachi or Pezu plant to regional warehouses near major consumption centres, then to distributors/dealers, retailers, and finally construction customers or end customers. For a typical retail bag, the illustrative chain is Factory → Regional Warehouse → Distributor/Dealer → Retailer → Customer, meaning about three downstream intermediary stages after the factory. Large construction or institutional customers may receive cement through a shorter route, such as Factory → Customer or Factory → Distributor → Project.</w:t>
      </w:r>
    </w:p>
    <w:p>
      <w:r>
        <w:rPr>
          <w:b/>
        </w:rPr>
        <w:t xml:space="preserve">Export route: </w:t>
      </w:r>
      <w:r>
        <w:t>An illustrative export flow is Karachi Plant → Karachi Export Terminal → Ocean Vessel → Overseas Importer/Distributor → International Customer. The export structure is different from domestic retail distribution because ocean freight and overseas intermediaries become part of the chain.</w:t>
      </w:r>
    </w:p>
    <w:p>
      <w:pPr>
        <w:pStyle w:val="Heading1"/>
      </w:pPr>
      <w:r>
        <w:t>4. Information &amp; Financial Flow</w:t>
      </w:r>
    </w:p>
    <w:p>
      <w:r>
        <w:rPr>
          <w:b/>
        </w:rPr>
        <w:t xml:space="preserve">Information flow: </w:t>
      </w:r>
      <w:r>
        <w:t>Customer/project demand → Retailer/dealer → Distributor → Regional warehouse → Lucky Cement sales/planning → Factory production and dispatch planning, with major institutional/export customers potentially communicating more directly with the company.</w:t>
      </w:r>
    </w:p>
    <w:p>
      <w:r>
        <w:rPr>
          <w:b/>
        </w:rPr>
        <w:t xml:space="preserve">Financial flow: </w:t>
      </w:r>
      <w:r>
        <w:t>Customer → Retailer/dealer → Distributor → Company, using agreed commercial arrangements such as cash/near-cash transactions or credit terms; export transactions may use international trade-payment arrangements.</w:t>
      </w:r>
    </w:p>
    <w:p>
      <w:pPr>
        <w:pStyle w:val="Heading1"/>
      </w:pPr>
      <w:r>
        <w:t>5. Simple Text Diagram</w:t>
      </w:r>
    </w:p>
    <w:p>
      <w:pPr>
        <w:jc w:val="center"/>
      </w:pPr>
      <w:r>
        <w:rPr>
          <w:b/>
          <w:sz w:val="18"/>
        </w:rPr>
        <w:t>Tier 2 Mineral/Fuel Sources → Tier 1 Suppliers → Lucky Cement Plant → Crushing &amp; Raw-Material Preparation → Raw Grinding &amp; Homogenisation → Kiln/Clinker Production → Clinker Cooling &amp; Cement Grinding → Silos/Packing → Regional Warehouse → Distributor/Dealer → Retailer → Customer</w:t>
      </w:r>
    </w:p>
    <w:p>
      <w:pPr>
        <w:jc w:val="center"/>
      </w:pPr>
      <w:r>
        <w:rPr>
          <w:b/>
          <w:sz w:val="18"/>
        </w:rPr>
        <w:t>Export: Lucky Cement Karachi Plant → Karachi Export Terminal → Ocean Vessel → Overseas Importer/Distributor → International Customer</w:t>
      </w:r>
    </w:p>
    <w:p>
      <w:pPr>
        <w:pStyle w:val="Heading1"/>
      </w:pPr>
      <w:r>
        <w:t>6. Illustrative Lead-Time Estimates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7"/>
              </w:rPr>
              <w:t>Major link</w:t>
            </w:r>
          </w:p>
        </w:tc>
        <w:tc>
          <w:tcPr>
            <w:tcW w:type="dxa" w:w="3456"/>
            <w:vAlign w:val="center"/>
            <w:shd w:fill="D9EAF7"/>
          </w:tcPr>
          <w:p>
            <w:r/>
            <w:r>
              <w:rPr>
                <w:b/>
                <w:sz w:val="17"/>
              </w:rPr>
              <w:t>Lead time</w:t>
            </w:r>
          </w:p>
        </w:tc>
        <w:tc>
          <w:tcPr>
            <w:tcW w:type="dxa" w:w="3456"/>
            <w:vAlign w:val="center"/>
            <w:shd w:fill="D9EAF7"/>
          </w:tcPr>
          <w:p>
            <w:r/>
            <w:r>
              <w:rPr>
                <w:b/>
                <w:sz w:val="17"/>
              </w:rPr>
              <w:t>Reasoning</w:t>
            </w:r>
          </w:p>
        </w:tc>
      </w:tr>
      <w:tr>
        <w:tc>
          <w:tcPr>
            <w:tcW w:type="dxa" w:w="3456"/>
            <w:vAlign w:val="center"/>
          </w:tcPr>
          <w:p>
            <w:r/>
            <w:r>
              <w:rPr>
                <w:b w:val="0"/>
                <w:sz w:val="17"/>
              </w:rPr>
              <w:t>Local limestone/mineral source → factory</w:t>
            </w:r>
          </w:p>
        </w:tc>
        <w:tc>
          <w:tcPr>
            <w:tcW w:type="dxa" w:w="3456"/>
            <w:vAlign w:val="center"/>
          </w:tcPr>
          <w:p>
            <w:r/>
            <w:r>
              <w:rPr>
                <w:b w:val="0"/>
                <w:sz w:val="17"/>
              </w:rPr>
              <w:t>0.5–2 days</w:t>
            </w:r>
          </w:p>
        </w:tc>
        <w:tc>
          <w:tcPr>
            <w:tcW w:type="dxa" w:w="3456"/>
            <w:vAlign w:val="center"/>
          </w:tcPr>
          <w:p>
            <w:r/>
            <w:r>
              <w:rPr>
                <w:b w:val="0"/>
                <w:sz w:val="17"/>
              </w:rPr>
              <w:t>Bulk minerals can be moved by truck, especially when sourced near the plant.</w:t>
            </w:r>
          </w:p>
        </w:tc>
      </w:tr>
      <w:tr>
        <w:tc>
          <w:tcPr>
            <w:tcW w:type="dxa" w:w="3456"/>
            <w:vAlign w:val="center"/>
          </w:tcPr>
          <w:p>
            <w:r/>
            <w:r>
              <w:rPr>
                <w:b w:val="0"/>
                <w:sz w:val="17"/>
              </w:rPr>
              <w:t>Domestic gypsum supplier → factory</w:t>
            </w:r>
          </w:p>
        </w:tc>
        <w:tc>
          <w:tcPr>
            <w:tcW w:type="dxa" w:w="3456"/>
            <w:vAlign w:val="center"/>
          </w:tcPr>
          <w:p>
            <w:r/>
            <w:r>
              <w:rPr>
                <w:b w:val="0"/>
                <w:sz w:val="17"/>
              </w:rPr>
              <w:t>2–7 days</w:t>
            </w:r>
          </w:p>
        </w:tc>
        <w:tc>
          <w:tcPr>
            <w:tcW w:type="dxa" w:w="3456"/>
            <w:vAlign w:val="center"/>
          </w:tcPr>
          <w:p>
            <w:r/>
            <w:r>
              <w:rPr>
                <w:b w:val="0"/>
                <w:sz w:val="17"/>
              </w:rPr>
              <w:t>Supplier preparation, loading and road transport; distance and inventory affect timing.</w:t>
            </w:r>
          </w:p>
        </w:tc>
      </w:tr>
      <w:tr>
        <w:tc>
          <w:tcPr>
            <w:tcW w:type="dxa" w:w="3456"/>
            <w:vAlign w:val="center"/>
          </w:tcPr>
          <w:p>
            <w:r/>
            <w:r>
              <w:rPr>
                <w:b w:val="0"/>
                <w:sz w:val="17"/>
              </w:rPr>
              <w:t>Coal/fuel supplier → factory</w:t>
            </w:r>
          </w:p>
        </w:tc>
        <w:tc>
          <w:tcPr>
            <w:tcW w:type="dxa" w:w="3456"/>
            <w:vAlign w:val="center"/>
          </w:tcPr>
          <w:p>
            <w:r/>
            <w:r>
              <w:rPr>
                <w:b w:val="0"/>
                <w:sz w:val="17"/>
              </w:rPr>
              <w:t>7–21 days</w:t>
            </w:r>
          </w:p>
        </w:tc>
        <w:tc>
          <w:tcPr>
            <w:tcW w:type="dxa" w:w="3456"/>
            <w:vAlign w:val="center"/>
          </w:tcPr>
          <w:p>
            <w:r/>
            <w:r>
              <w:rPr>
                <w:b w:val="0"/>
                <w:sz w:val="17"/>
              </w:rPr>
              <w:t>Larger shipments, procurement schedules and possible imports can increase lead time.</w:t>
            </w:r>
          </w:p>
        </w:tc>
      </w:tr>
      <w:tr>
        <w:tc>
          <w:tcPr>
            <w:tcW w:type="dxa" w:w="3456"/>
            <w:vAlign w:val="center"/>
          </w:tcPr>
          <w:p>
            <w:r/>
            <w:r>
              <w:rPr>
                <w:b w:val="0"/>
                <w:sz w:val="17"/>
              </w:rPr>
              <w:t>Factory → nearby/regional warehouse</w:t>
            </w:r>
          </w:p>
        </w:tc>
        <w:tc>
          <w:tcPr>
            <w:tcW w:type="dxa" w:w="3456"/>
            <w:vAlign w:val="center"/>
          </w:tcPr>
          <w:p>
            <w:r/>
            <w:r>
              <w:rPr>
                <w:b w:val="0"/>
                <w:sz w:val="17"/>
              </w:rPr>
              <w:t>1–3 days</w:t>
            </w:r>
          </w:p>
        </w:tc>
        <w:tc>
          <w:tcPr>
            <w:tcW w:type="dxa" w:w="3456"/>
            <w:vAlign w:val="center"/>
          </w:tcPr>
          <w:p>
            <w:r/>
            <w:r>
              <w:rPr>
                <w:b w:val="0"/>
                <w:sz w:val="17"/>
              </w:rPr>
              <w:t>Road transport from the plant to a regional storage point.</w:t>
            </w:r>
          </w:p>
        </w:tc>
      </w:tr>
      <w:tr>
        <w:tc>
          <w:tcPr>
            <w:tcW w:type="dxa" w:w="3456"/>
            <w:vAlign w:val="center"/>
          </w:tcPr>
          <w:p>
            <w:r/>
            <w:r>
              <w:rPr>
                <w:b w:val="0"/>
                <w:sz w:val="17"/>
              </w:rPr>
              <w:t>Factory → distant regional warehouse</w:t>
            </w:r>
          </w:p>
        </w:tc>
        <w:tc>
          <w:tcPr>
            <w:tcW w:type="dxa" w:w="3456"/>
            <w:vAlign w:val="center"/>
          </w:tcPr>
          <w:p>
            <w:r/>
            <w:r>
              <w:rPr>
                <w:b w:val="0"/>
                <w:sz w:val="17"/>
              </w:rPr>
              <w:t>2–5 days</w:t>
            </w:r>
          </w:p>
        </w:tc>
        <w:tc>
          <w:tcPr>
            <w:tcW w:type="dxa" w:w="3456"/>
            <w:vAlign w:val="center"/>
          </w:tcPr>
          <w:p>
            <w:r/>
            <w:r>
              <w:rPr>
                <w:b w:val="0"/>
                <w:sz w:val="17"/>
              </w:rPr>
              <w:t>Longer road distance plus loading and dispatch scheduling.</w:t>
            </w:r>
          </w:p>
        </w:tc>
      </w:tr>
      <w:tr>
        <w:tc>
          <w:tcPr>
            <w:tcW w:type="dxa" w:w="3456"/>
            <w:vAlign w:val="center"/>
          </w:tcPr>
          <w:p>
            <w:r/>
            <w:r>
              <w:rPr>
                <w:b w:val="0"/>
                <w:sz w:val="17"/>
              </w:rPr>
              <w:t>Regional warehouse → distributor/dealer</w:t>
            </w:r>
          </w:p>
        </w:tc>
        <w:tc>
          <w:tcPr>
            <w:tcW w:type="dxa" w:w="3456"/>
            <w:vAlign w:val="center"/>
          </w:tcPr>
          <w:p>
            <w:r/>
            <w:r>
              <w:rPr>
                <w:b w:val="0"/>
                <w:sz w:val="17"/>
              </w:rPr>
              <w:t>1–3 days</w:t>
            </w:r>
          </w:p>
        </w:tc>
        <w:tc>
          <w:tcPr>
            <w:tcW w:type="dxa" w:w="3456"/>
            <w:vAlign w:val="center"/>
          </w:tcPr>
          <w:p>
            <w:r/>
            <w:r>
              <w:rPr>
                <w:b w:val="0"/>
                <w:sz w:val="17"/>
              </w:rPr>
              <w:t>Relatively short domestic replenishment movement.</w:t>
            </w:r>
          </w:p>
        </w:tc>
      </w:tr>
      <w:tr>
        <w:tc>
          <w:tcPr>
            <w:tcW w:type="dxa" w:w="3456"/>
            <w:vAlign w:val="center"/>
          </w:tcPr>
          <w:p>
            <w:r/>
            <w:r>
              <w:rPr>
                <w:b w:val="0"/>
                <w:sz w:val="17"/>
              </w:rPr>
              <w:t>Distributor/dealer → retailer/customer</w:t>
            </w:r>
          </w:p>
        </w:tc>
        <w:tc>
          <w:tcPr>
            <w:tcW w:type="dxa" w:w="3456"/>
            <w:vAlign w:val="center"/>
          </w:tcPr>
          <w:p>
            <w:r/>
            <w:r>
              <w:rPr>
                <w:b w:val="0"/>
                <w:sz w:val="17"/>
              </w:rPr>
              <w:t>1–3 days</w:t>
            </w:r>
          </w:p>
        </w:tc>
        <w:tc>
          <w:tcPr>
            <w:tcW w:type="dxa" w:w="3456"/>
            <w:vAlign w:val="center"/>
          </w:tcPr>
          <w:p>
            <w:r/>
            <w:r>
              <w:rPr>
                <w:b w:val="0"/>
                <w:sz w:val="17"/>
              </w:rPr>
              <w:t>Depends on order size, location and vehicle availability.</w:t>
            </w:r>
          </w:p>
        </w:tc>
      </w:tr>
      <w:tr>
        <w:tc>
          <w:tcPr>
            <w:tcW w:type="dxa" w:w="3456"/>
            <w:vAlign w:val="center"/>
          </w:tcPr>
          <w:p>
            <w:r/>
            <w:r>
              <w:rPr>
                <w:b w:val="0"/>
                <w:sz w:val="17"/>
              </w:rPr>
              <w:t>Karachi plant → export terminal</w:t>
            </w:r>
          </w:p>
        </w:tc>
        <w:tc>
          <w:tcPr>
            <w:tcW w:type="dxa" w:w="3456"/>
            <w:vAlign w:val="center"/>
          </w:tcPr>
          <w:p>
            <w:r/>
            <w:r>
              <w:rPr>
                <w:b w:val="0"/>
                <w:sz w:val="17"/>
              </w:rPr>
              <w:t>Same day–2 days</w:t>
            </w:r>
          </w:p>
        </w:tc>
        <w:tc>
          <w:tcPr>
            <w:tcW w:type="dxa" w:w="3456"/>
            <w:vAlign w:val="center"/>
          </w:tcPr>
          <w:p>
            <w:r/>
            <w:r>
              <w:rPr>
                <w:b w:val="0"/>
                <w:sz w:val="17"/>
              </w:rPr>
              <w:t>Short inland movement where plant/terminal logistics permit.</w:t>
            </w:r>
          </w:p>
        </w:tc>
      </w:tr>
      <w:tr>
        <w:tc>
          <w:tcPr>
            <w:tcW w:type="dxa" w:w="3456"/>
            <w:vAlign w:val="center"/>
          </w:tcPr>
          <w:p>
            <w:r/>
            <w:r>
              <w:rPr>
                <w:b w:val="0"/>
                <w:sz w:val="17"/>
              </w:rPr>
              <w:t>Export terminal → overseas destination</w:t>
            </w:r>
          </w:p>
        </w:tc>
        <w:tc>
          <w:tcPr>
            <w:tcW w:type="dxa" w:w="3456"/>
            <w:vAlign w:val="center"/>
          </w:tcPr>
          <w:p>
            <w:r/>
            <w:r>
              <w:rPr>
                <w:b w:val="0"/>
                <w:sz w:val="17"/>
              </w:rPr>
              <w:t>10–35+ days</w:t>
            </w:r>
          </w:p>
        </w:tc>
        <w:tc>
          <w:tcPr>
            <w:tcW w:type="dxa" w:w="3456"/>
            <w:vAlign w:val="center"/>
          </w:tcPr>
          <w:p>
            <w:r/>
            <w:r>
              <w:rPr>
                <w:b w:val="0"/>
                <w:sz w:val="17"/>
              </w:rPr>
              <w:t>Highly dependent on destination, vessel schedule, port congestion and route.</w:t>
            </w:r>
          </w:p>
        </w:tc>
      </w:tr>
    </w:tbl>
    <w:p>
      <w:r>
        <w:rPr>
          <w:b/>
        </w:rPr>
        <w:t xml:space="preserve">Domestic replenishment example: </w:t>
      </w:r>
      <w:r>
        <w:t>Once production is available, an illustrative Factory → Regional Warehouse → Distributor/Dealer → Customer movement could take roughly 3–11 days, excluding stockouts, unusual congestion, production constraints or other delays.</w:t>
      </w:r>
    </w:p>
    <w:p>
      <w:pPr>
        <w:pStyle w:val="Heading1"/>
      </w:pPr>
      <w:r>
        <w:t>Assumptions</w:t>
      </w:r>
    </w:p>
    <w:p>
      <w:r>
        <w:t>This map assumes a conventional integrated cement-manufacturing supply chain and uses generic supplier categories rather than claiming that particular companies supply Lucky Cement. Exact sourcing locations for limestone, clay, gypsum, coal and other inputs are not established here, so their origins and lead times are illustrative. The downstream model assumes a combination of warehouses, distributors, dealers and direct institutional customers because actual routes vary by customer and geography. A real internal Lucky Cement supply-chain map would likely contain specific supplier names, quarry locations, contracted transporters, inventory levels, purchase-order processes, production schedules, warehouse capacities, customer segmentation, credit terms and exact delivery routes. It would also distinguish more precisely between domestic, export, bulk and bagged-cement flows.</w:t>
      </w:r>
    </w:p>
    <w:p>
      <w:r>
        <w:rPr>
          <w:b/>
        </w:rPr>
        <w:t xml:space="preserve">Academic use note: </w:t>
      </w:r>
      <w:r>
        <w:t>The map is designed for a BBA Supply Chain Analytics semester project and should be presented as synthetic/illustrative rather than confidential or verified company data.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