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AF67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  <w:sz w:val="32"/>
          <w:szCs w:val="32"/>
        </w:rPr>
      </w:pPr>
      <w:r w:rsidRPr="007861F6">
        <w:rPr>
          <w:rFonts w:ascii="Bell MT" w:hAnsi="Bell MT"/>
          <w:b/>
          <w:bCs/>
          <w:sz w:val="32"/>
          <w:szCs w:val="32"/>
        </w:rPr>
        <w:t>Mathematically Certified Generalization and Structural Confidence for NDM-1 Mutation Effect Prediction: Full Revised Strategy</w:t>
      </w:r>
    </w:p>
    <w:p w14:paraId="1C74E51A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I: The Core Problem and the Corrected Theoretical Foundation</w:t>
      </w:r>
    </w:p>
    <w:p w14:paraId="4B85E0D9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1.1 The Problem</w:t>
      </w:r>
    </w:p>
    <w:p w14:paraId="6A0FCCD5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State-of-the-art protein models (AlphaFold, ESM, structure-informed DCA, dynamics-aware GNNs) produce high-accuracy predictions but lack </w:t>
      </w:r>
      <w:r w:rsidRPr="007861F6">
        <w:rPr>
          <w:rFonts w:ascii="Bell MT" w:hAnsi="Bell MT"/>
          <w:b/>
          <w:bCs/>
        </w:rPr>
        <w:t>mathematically calibrated, localized uncertainty estimates</w:t>
      </w:r>
      <w:r w:rsidRPr="007861F6">
        <w:rPr>
          <w:rFonts w:ascii="Bell MT" w:hAnsi="Bell MT"/>
        </w:rPr>
        <w:t xml:space="preserve">. Heuristic scores such as </w:t>
      </w:r>
      <w:proofErr w:type="spellStart"/>
      <w:r w:rsidRPr="007861F6">
        <w:rPr>
          <w:rFonts w:ascii="Bell MT" w:hAnsi="Bell MT"/>
        </w:rPr>
        <w:t>pLDDT</w:t>
      </w:r>
      <w:proofErr w:type="spellEnd"/>
      <w:r w:rsidRPr="007861F6">
        <w:rPr>
          <w:rFonts w:ascii="Bell MT" w:hAnsi="Bell MT"/>
        </w:rPr>
        <w:t xml:space="preserve"> degrade under mutational distribution shift and provide no formal guarantee. For high-stakes applications (NDM-1 inhibitor design, clinical variant prioritization), we need </w:t>
      </w:r>
      <w:r w:rsidRPr="007861F6">
        <w:rPr>
          <w:rFonts w:ascii="Bell MT" w:hAnsi="Bell MT"/>
          <w:b/>
          <w:bCs/>
        </w:rPr>
        <w:t>certified structural confidence scores</w:t>
      </w:r>
      <w:r w:rsidRPr="007861F6">
        <w:rPr>
          <w:rFonts w:ascii="Bell MT" w:hAnsi="Bell MT"/>
        </w:rPr>
        <w:t>.</w:t>
      </w:r>
    </w:p>
    <w:p w14:paraId="7B31E5B6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1.2 The Corrected Mathematical Fact</w:t>
      </w:r>
    </w:p>
    <w:p w14:paraId="44466B42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The Kim-Vu sandwich conjecture was fully proved in October 2025 by Behague, Il’kovi</w:t>
      </w:r>
      <w:r w:rsidRPr="007861F6">
        <w:rPr>
          <w:rFonts w:ascii="Cambria" w:hAnsi="Cambria" w:cs="Cambria"/>
        </w:rPr>
        <w:t>č</w:t>
      </w:r>
      <w:r w:rsidRPr="007861F6">
        <w:rPr>
          <w:rFonts w:ascii="Bell MT" w:hAnsi="Bell MT"/>
        </w:rPr>
        <w:t>, and Montgomery. The theorem states:</w:t>
      </w:r>
    </w:p>
    <w:p w14:paraId="5C8D8B6E" w14:textId="4BE5AB04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When </w:t>
      </w:r>
      <m:oMath>
        <m:r>
          <w:rPr>
            <w:rFonts w:ascii="Cambria Math" w:hAnsi="Cambria Math"/>
          </w:rPr>
          <m:t>d=ω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861F6">
        <w:rPr>
          <w:rFonts w:ascii="Bell MT" w:hAnsi="Bell MT"/>
        </w:rPr>
        <w:t xml:space="preserve">, the random </w:t>
      </w:r>
      <m:oMath>
        <m:r>
          <w:rPr>
            <w:rFonts w:ascii="Cambria Math" w:hAnsi="Cambria Math"/>
          </w:rPr>
          <m:t>d</m:t>
        </m:r>
      </m:oMath>
      <w:r w:rsidRPr="007861F6">
        <w:rPr>
          <w:rFonts w:ascii="Bell MT" w:hAnsi="Bell MT"/>
        </w:rPr>
        <w:t xml:space="preserve">-regular graph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861F6">
        <w:rPr>
          <w:rFonts w:ascii="Bell MT" w:hAnsi="Bell MT"/>
        </w:rPr>
        <w:t xml:space="preserve">can be sandwiched with high probability between two random binomial graphs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</m:d>
      </m:oMath>
      <w:r w:rsidRPr="007861F6">
        <w:rPr>
          <w:rFonts w:ascii="Bell MT" w:hAnsi="Bell MT"/>
        </w:rPr>
        <w:t xml:space="preserve">and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7861F6">
        <w:rPr>
          <w:rFonts w:ascii="Bell MT" w:hAnsi="Bell MT"/>
        </w:rPr>
        <w:t xml:space="preserve">with edge probabilities asymptotically equal to </w:t>
      </w:r>
      <m:oMath>
        <m:r>
          <w:rPr>
            <w:rFonts w:ascii="Cambria Math" w:hAnsi="Cambria Math"/>
          </w:rPr>
          <m:t>d/n</m:t>
        </m:r>
      </m:oMath>
      <w:r w:rsidRPr="007861F6">
        <w:rPr>
          <w:rFonts w:ascii="Bell MT" w:hAnsi="Bell MT"/>
        </w:rPr>
        <w:t xml:space="preserve">. There exist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1-o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d/n</m:t>
        </m:r>
      </m:oMath>
      <w:r w:rsidRPr="007861F6">
        <w:rPr>
          <w:rFonts w:ascii="Bell MT" w:hAnsi="Bell MT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1+o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d/n</m:t>
        </m:r>
      </m:oMath>
      <w:r w:rsidRPr="007861F6">
        <w:rPr>
          <w:rFonts w:ascii="Bell MT" w:hAnsi="Bell MT"/>
        </w:rPr>
        <w:t xml:space="preserve">, and a coupling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  <m:e>
            <m:r>
              <w:rPr>
                <w:rFonts w:ascii="Cambria Math" w:hAnsi="Cambria Math"/>
              </w:rPr>
              <m:t>G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7861F6">
        <w:rPr>
          <w:rFonts w:ascii="Bell MT" w:hAnsi="Bell MT"/>
        </w:rPr>
        <w:t xml:space="preserve">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  <m:r>
          <w:rPr>
            <w:rFonts w:ascii="Cambria Math" w:hAnsi="Cambria Math"/>
          </w:rPr>
          <m:t>⊆G⊆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861F6">
        <w:rPr>
          <w:rFonts w:ascii="Bell MT" w:hAnsi="Bell MT"/>
        </w:rPr>
        <w:t xml:space="preserve">with probability </w:t>
      </w:r>
      <m:oMath>
        <m:r>
          <w:rPr>
            <w:rFonts w:ascii="Cambria Math" w:hAnsi="Cambria Math"/>
          </w:rPr>
          <m:t>1-o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861F6">
        <w:rPr>
          <w:rFonts w:ascii="Bell MT" w:hAnsi="Bell MT"/>
        </w:rPr>
        <w:t>.</w:t>
      </w:r>
    </w:p>
    <w:p w14:paraId="3D2AED9A" w14:textId="04A6AC8C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Critical correction:</w:t>
      </w:r>
      <w:r w:rsidRPr="007861F6">
        <w:rPr>
          <w:rFonts w:ascii="Bell MT" w:hAnsi="Bell MT"/>
        </w:rPr>
        <w:t xml:space="preserve"> The older partial result requiring </w:t>
      </w:r>
      <m:oMath>
        <m:r>
          <w:rPr>
            <w:rFonts w:ascii="Cambria Math" w:hAnsi="Cambria Math"/>
          </w:rPr>
          <m:t>d≫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n</m:t>
        </m:r>
      </m:oMath>
      <w:r w:rsidRPr="007861F6">
        <w:rPr>
          <w:rFonts w:ascii="Bell MT" w:hAnsi="Bell MT"/>
        </w:rPr>
        <w:t xml:space="preserve">is </w:t>
      </w:r>
      <w:r w:rsidRPr="007861F6">
        <w:rPr>
          <w:rFonts w:ascii="Bell MT" w:hAnsi="Bell MT"/>
          <w:b/>
          <w:bCs/>
        </w:rPr>
        <w:t>superseded</w:t>
      </w:r>
      <w:r w:rsidRPr="007861F6">
        <w:rPr>
          <w:rFonts w:ascii="Bell MT" w:hAnsi="Bell MT"/>
        </w:rPr>
        <w:t xml:space="preserve">. The full 2025 proof covers all </w:t>
      </w:r>
      <m:oMath>
        <m:r>
          <w:rPr>
            <w:rFonts w:ascii="Cambria Math" w:hAnsi="Cambria Math"/>
          </w:rPr>
          <m:t>d=ω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861F6">
        <w:rPr>
          <w:rFonts w:ascii="Bell MT" w:hAnsi="Bell MT"/>
        </w:rPr>
        <w:t>. For NDM-1 (</w:t>
      </w:r>
      <m:oMath>
        <m:r>
          <w:rPr>
            <w:rFonts w:ascii="Cambria Math" w:hAnsi="Cambria Math"/>
          </w:rPr>
          <m:t>n≈244</m:t>
        </m:r>
      </m:oMath>
      <w:r w:rsidRPr="007861F6">
        <w:rPr>
          <w:rFonts w:ascii="Bell MT" w:hAnsi="Bell MT"/>
        </w:rPr>
        <w:t xml:space="preserve">, </w:t>
      </w:r>
      <m:oMath>
        <m:r>
          <w:rPr>
            <w:rFonts w:ascii="Cambria Math" w:hAnsi="Cambria Math"/>
          </w:rPr>
          <m:t>d≈6</m:t>
        </m:r>
        <m:r>
          <m:rPr>
            <m:nor/>
          </m:rPr>
          <w:rPr>
            <w:rFonts w:ascii="Bell MT" w:hAnsi="Bell MT"/>
          </w:rPr>
          <m:t>–</m:t>
        </m:r>
        <m:r>
          <w:rPr>
            <w:rFonts w:ascii="Cambria Math" w:hAnsi="Cambria Math"/>
          </w:rPr>
          <m:t>12</m:t>
        </m:r>
      </m:oMath>
      <w:r w:rsidRPr="007861F6">
        <w:rPr>
          <w:rFonts w:ascii="Bell MT" w:hAnsi="Bell MT"/>
        </w:rPr>
        <w:t xml:space="preserve">), the condition </w:t>
      </w:r>
      <m:oMath>
        <m:r>
          <w:rPr>
            <w:rFonts w:ascii="Cambria Math" w:hAnsi="Cambria Math"/>
          </w:rPr>
          <m:t>d=ω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861F6">
        <w:rPr>
          <w:rFonts w:ascii="Bell MT" w:hAnsi="Bell MT"/>
        </w:rPr>
        <w:t xml:space="preserve">is satisfied since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244</m:t>
            </m:r>
          </m:e>
        </m:func>
        <m:r>
          <w:rPr>
            <w:rFonts w:ascii="Cambria Math" w:hAnsi="Cambria Math"/>
          </w:rPr>
          <m:t>≈5.5</m:t>
        </m:r>
      </m:oMath>
      <w:r w:rsidRPr="007861F6">
        <w:rPr>
          <w:rFonts w:ascii="Bell MT" w:hAnsi="Bell MT"/>
        </w:rPr>
        <w:t xml:space="preserve">. However, because the margin is narrow, the condition must be </w:t>
      </w:r>
      <w:r w:rsidRPr="007861F6">
        <w:rPr>
          <w:rFonts w:ascii="Bell MT" w:hAnsi="Bell MT"/>
          <w:b/>
          <w:bCs/>
        </w:rPr>
        <w:t>checked carefully</w:t>
      </w:r>
      <w:r w:rsidRPr="007861F6">
        <w:rPr>
          <w:rFonts w:ascii="Bell MT" w:hAnsi="Bell MT"/>
        </w:rPr>
        <w:t xml:space="preserve"> for the specific graph, and the near-regular version of the theorem (Gao–Isaev–McKay line) should be used if the degree distribution is heterogeneous.</w:t>
      </w:r>
    </w:p>
    <w:p w14:paraId="32EA0357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1.3 Two Complementary Theoretical Routes</w:t>
      </w:r>
    </w:p>
    <w:p w14:paraId="568EE4A4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There are two viable mathematical routes to obtain generalization / confidence bounds for GNNs on protein graphs: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5"/>
        <w:gridCol w:w="2719"/>
        <w:gridCol w:w="3185"/>
        <w:gridCol w:w="2829"/>
      </w:tblGrid>
      <w:tr w:rsidR="007861F6" w:rsidRPr="007861F6" w14:paraId="5EE37AC5" w14:textId="77777777" w:rsidTr="007861F6">
        <w:tc>
          <w:tcPr>
            <w:tcW w:w="0" w:type="auto"/>
            <w:hideMark/>
          </w:tcPr>
          <w:p w14:paraId="42E63EB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Route</w:t>
            </w:r>
          </w:p>
        </w:tc>
        <w:tc>
          <w:tcPr>
            <w:tcW w:w="0" w:type="auto"/>
            <w:hideMark/>
          </w:tcPr>
          <w:p w14:paraId="1600FC3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Core Tool</w:t>
            </w:r>
          </w:p>
        </w:tc>
        <w:tc>
          <w:tcPr>
            <w:tcW w:w="0" w:type="auto"/>
            <w:hideMark/>
          </w:tcPr>
          <w:p w14:paraId="3ED804D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Strengths</w:t>
            </w:r>
          </w:p>
        </w:tc>
        <w:tc>
          <w:tcPr>
            <w:tcW w:w="0" w:type="auto"/>
            <w:hideMark/>
          </w:tcPr>
          <w:p w14:paraId="003DD36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Limitations</w:t>
            </w:r>
          </w:p>
        </w:tc>
      </w:tr>
      <w:tr w:rsidR="007861F6" w:rsidRPr="007861F6" w14:paraId="309033BD" w14:textId="77777777" w:rsidTr="007861F6">
        <w:tc>
          <w:tcPr>
            <w:tcW w:w="0" w:type="auto"/>
            <w:hideMark/>
          </w:tcPr>
          <w:p w14:paraId="57E9B06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Route A</w:t>
            </w:r>
          </w:p>
        </w:tc>
        <w:tc>
          <w:tcPr>
            <w:tcW w:w="0" w:type="auto"/>
            <w:hideMark/>
          </w:tcPr>
          <w:p w14:paraId="3B22648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Kim-Vu sandwich + concentration inequalities (Schudy-Sviridenko primary)</w:t>
            </w:r>
          </w:p>
        </w:tc>
        <w:tc>
          <w:tcPr>
            <w:tcW w:w="0" w:type="auto"/>
            <w:hideMark/>
          </w:tcPr>
          <w:p w14:paraId="3177261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Provides independence bridge for dependent edges; allows classical polynomial concentration</w:t>
            </w:r>
          </w:p>
        </w:tc>
        <w:tc>
          <w:tcPr>
            <w:tcW w:w="0" w:type="auto"/>
            <w:hideMark/>
          </w:tcPr>
          <w:p w14:paraId="42FE4B01" w14:textId="1BA60C2F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 xml:space="preserve">Requires the graph to be (near-)regular and </w:t>
            </w:r>
            <m:oMath>
              <m:r>
                <w:rPr>
                  <w:rFonts w:ascii="Cambria Math" w:hAnsi="Cambria Math"/>
                </w:rPr>
                <m:t>d=ω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7861F6">
              <w:rPr>
                <w:rFonts w:ascii="Bell MT" w:hAnsi="Bell MT"/>
              </w:rPr>
              <w:t>; finite-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7861F6">
              <w:rPr>
                <w:rFonts w:ascii="Bell MT" w:hAnsi="Bell MT"/>
              </w:rPr>
              <w:t xml:space="preserve"> effects for small proteins</w:t>
            </w:r>
          </w:p>
        </w:tc>
      </w:tr>
      <w:tr w:rsidR="007861F6" w:rsidRPr="007861F6" w14:paraId="258AAB76" w14:textId="77777777" w:rsidTr="007861F6">
        <w:tc>
          <w:tcPr>
            <w:tcW w:w="0" w:type="auto"/>
            <w:hideMark/>
          </w:tcPr>
          <w:p w14:paraId="271DB35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Route B</w:t>
            </w:r>
          </w:p>
        </w:tc>
        <w:tc>
          <w:tcPr>
            <w:tcW w:w="0" w:type="auto"/>
            <w:hideMark/>
          </w:tcPr>
          <w:p w14:paraId="3976476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Topology-Aware PAC-Bayesian framework</w:t>
            </w:r>
          </w:p>
        </w:tc>
        <w:tc>
          <w:tcPr>
            <w:tcW w:w="0" w:type="auto"/>
            <w:hideMark/>
          </w:tcPr>
          <w:p w14:paraId="099F2899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Directly handles irregular, heterogeneous degree sequences; produces per-residue scores naturally</w:t>
            </w:r>
          </w:p>
        </w:tc>
        <w:tc>
          <w:tcPr>
            <w:tcW w:w="0" w:type="auto"/>
            <w:hideMark/>
          </w:tcPr>
          <w:p w14:paraId="39E51CB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Bound tightness depends on spectral quantities and weight-matrix norms</w:t>
            </w:r>
          </w:p>
        </w:tc>
      </w:tr>
    </w:tbl>
    <w:p w14:paraId="53E09CB1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lastRenderedPageBreak/>
        <w:t>Hybrid recommendation:</w:t>
      </w:r>
      <w:r w:rsidRPr="007861F6">
        <w:rPr>
          <w:rFonts w:ascii="Bell MT" w:hAnsi="Bell MT"/>
        </w:rPr>
        <w:t xml:space="preserve"> Compute both. Report the sandwich-based bound when the degree / near-regularity conditions hold; always report the topology-aware PAC-Bayes score. The final SANDCERT score is the more conservative of the two (or a calibrated combination).</w:t>
      </w:r>
    </w:p>
    <w:p w14:paraId="6AE80F6F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II: The SANDCERT v2 Hybrid Strategy</w:t>
      </w:r>
    </w:p>
    <w:p w14:paraId="63A50D0F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2.1 Graph Construction</w:t>
      </w:r>
    </w:p>
    <w:p w14:paraId="4DF2DC7A" w14:textId="77777777" w:rsidR="007861F6" w:rsidRPr="007861F6" w:rsidRDefault="007861F6" w:rsidP="007861F6">
      <w:pPr>
        <w:numPr>
          <w:ilvl w:val="0"/>
          <w:numId w:val="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Build the residue interaction graph from PDB structures </w:t>
      </w:r>
      <w:r w:rsidRPr="007861F6">
        <w:rPr>
          <w:rFonts w:ascii="Bell MT" w:hAnsi="Bell MT"/>
          <w:b/>
          <w:bCs/>
        </w:rPr>
        <w:t>3SPU</w:t>
      </w:r>
      <w:r w:rsidRPr="007861F6">
        <w:rPr>
          <w:rFonts w:ascii="Bell MT" w:hAnsi="Bell MT"/>
        </w:rPr>
        <w:t xml:space="preserve"> or </w:t>
      </w:r>
      <w:r w:rsidRPr="007861F6">
        <w:rPr>
          <w:rFonts w:ascii="Bell MT" w:hAnsi="Bell MT"/>
          <w:b/>
          <w:bCs/>
        </w:rPr>
        <w:t>5ZGY</w:t>
      </w:r>
      <w:r w:rsidRPr="007861F6">
        <w:rPr>
          <w:rFonts w:ascii="Bell MT" w:hAnsi="Bell MT"/>
        </w:rPr>
        <w:t xml:space="preserve">, residues </w:t>
      </w:r>
      <w:r w:rsidRPr="007861F6">
        <w:rPr>
          <w:rFonts w:ascii="Bell MT" w:hAnsi="Bell MT"/>
          <w:b/>
          <w:bCs/>
        </w:rPr>
        <w:t>M27–R270</w:t>
      </w:r>
      <w:r w:rsidRPr="007861F6">
        <w:rPr>
          <w:rFonts w:ascii="Bell MT" w:hAnsi="Bell MT"/>
        </w:rPr>
        <w:t>.</w:t>
      </w:r>
    </w:p>
    <w:p w14:paraId="790120F7" w14:textId="77777777" w:rsidR="007861F6" w:rsidRPr="007861F6" w:rsidRDefault="007861F6" w:rsidP="007861F6">
      <w:pPr>
        <w:numPr>
          <w:ilvl w:val="0"/>
          <w:numId w:val="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Edge definition: C</w:t>
      </w:r>
      <w:r w:rsidRPr="007861F6">
        <w:rPr>
          <w:rFonts w:ascii="Cambria" w:hAnsi="Cambria" w:cs="Cambria"/>
        </w:rPr>
        <w:t>α</w:t>
      </w:r>
      <w:r w:rsidRPr="007861F6">
        <w:rPr>
          <w:rFonts w:ascii="Bell MT" w:hAnsi="Bell MT" w:cs="Bell MT"/>
        </w:rPr>
        <w:t>–</w:t>
      </w:r>
      <w:r w:rsidRPr="007861F6">
        <w:rPr>
          <w:rFonts w:ascii="Bell MT" w:hAnsi="Bell MT"/>
        </w:rPr>
        <w:t>C</w:t>
      </w:r>
      <w:r w:rsidRPr="007861F6">
        <w:rPr>
          <w:rFonts w:ascii="Cambria" w:hAnsi="Cambria" w:cs="Cambria"/>
        </w:rPr>
        <w:t>α</w:t>
      </w:r>
      <w:r w:rsidRPr="007861F6">
        <w:rPr>
          <w:rFonts w:ascii="Bell MT" w:hAnsi="Bell MT"/>
        </w:rPr>
        <w:t xml:space="preserve"> distance &lt; 8</w:t>
      </w:r>
      <w:r w:rsidRPr="007861F6">
        <w:rPr>
          <w:rFonts w:ascii="Bell MT" w:hAnsi="Bell MT" w:cs="Bell MT"/>
        </w:rPr>
        <w:t>–</w:t>
      </w:r>
      <w:r w:rsidRPr="007861F6">
        <w:rPr>
          <w:rFonts w:ascii="Bell MT" w:hAnsi="Bell MT"/>
        </w:rPr>
        <w:t xml:space="preserve">10 </w:t>
      </w:r>
      <w:r w:rsidRPr="007861F6">
        <w:rPr>
          <w:rFonts w:ascii="Bell MT" w:hAnsi="Bell MT" w:cs="Bell MT"/>
        </w:rPr>
        <w:t>Å</w:t>
      </w:r>
      <w:r w:rsidRPr="007861F6">
        <w:rPr>
          <w:rFonts w:ascii="Bell MT" w:hAnsi="Bell MT"/>
        </w:rPr>
        <w:t xml:space="preserve">, optionally weighted by the </w:t>
      </w:r>
      <w:r w:rsidRPr="007861F6">
        <w:rPr>
          <w:rFonts w:ascii="Bell MT" w:hAnsi="Bell MT"/>
          <w:b/>
          <w:bCs/>
        </w:rPr>
        <w:t>Asymmetric Dynamic Coupling Index (DCI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w:proofErr w:type="spellStart"/>
            <m:r>
              <m:rPr>
                <m:nor/>
              </m:rPr>
              <w:rPr>
                <w:rFonts w:ascii="Bell MT" w:hAnsi="Bell MT"/>
              </w:rPr>
              <m:t>asym</m:t>
            </m:r>
            <w:proofErr w:type="spellEnd"/>
          </m:sub>
        </m:sSub>
      </m:oMath>
      <w:proofErr w:type="gramStart"/>
      <w:r w:rsidRPr="007861F6">
        <w:rPr>
          <w:rFonts w:ascii="Bell MT" w:hAnsi="Bell MT"/>
          <w:b/>
          <w:bCs/>
        </w:rPr>
        <w:t>)</w:t>
      </w:r>
      <w:r w:rsidRPr="007861F6">
        <w:rPr>
          <w:rFonts w:ascii="Bell MT" w:hAnsi="Bell MT"/>
        </w:rPr>
        <w:t xml:space="preserve"> .</w:t>
      </w:r>
      <w:proofErr w:type="gramEnd"/>
    </w:p>
    <w:p w14:paraId="3B5A8C1B" w14:textId="106578D3" w:rsidR="007861F6" w:rsidRPr="007861F6" w:rsidRDefault="007861F6" w:rsidP="007861F6">
      <w:pPr>
        <w:numPr>
          <w:ilvl w:val="0"/>
          <w:numId w:val="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Compute the degree sequence </w:t>
      </w:r>
      <m:oMath>
        <m:r>
          <w:rPr>
            <w:rFonts w:ascii="Cambria Math" w:hAnsi="Cambria Math"/>
          </w:rPr>
          <m:t>d=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244</m:t>
                </m:r>
              </m:sub>
            </m:sSub>
          </m:e>
        </m:d>
      </m:oMath>
      <w:r w:rsidRPr="007861F6">
        <w:rPr>
          <w:rFonts w:ascii="Bell MT" w:hAnsi="Bell MT"/>
        </w:rPr>
        <w:t>.</w:t>
      </w:r>
    </w:p>
    <w:p w14:paraId="1BBDC2B3" w14:textId="562DFAEE" w:rsidR="007861F6" w:rsidRPr="007861F6" w:rsidRDefault="007861F6" w:rsidP="007861F6">
      <w:pPr>
        <w:numPr>
          <w:ilvl w:val="0"/>
          <w:numId w:val="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Verification:</w:t>
      </w:r>
      <w:r w:rsidRPr="007861F6">
        <w:rPr>
          <w:rFonts w:ascii="Bell MT" w:hAnsi="Bell MT"/>
        </w:rPr>
        <w:t xml:space="preserve"> Check near-regularity. If </w:t>
      </w:r>
      <m:oMath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-δ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≪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Pr="007861F6">
        <w:rPr>
          <w:rFonts w:ascii="Bell MT" w:hAnsi="Bell MT"/>
        </w:rPr>
        <w:t>, the graph is near-regular. If highly heterogeneous, prefer the topology-aware PAC-Bayes route for the primary bound.</w:t>
      </w:r>
    </w:p>
    <w:p w14:paraId="59E30D2A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2.2 Predictive Model</w:t>
      </w:r>
    </w:p>
    <w:p w14:paraId="767CF0AD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Adopt the </w:t>
      </w:r>
      <w:r w:rsidRPr="007861F6">
        <w:rPr>
          <w:rFonts w:ascii="Bell MT" w:hAnsi="Bell MT"/>
          <w:b/>
          <w:bCs/>
        </w:rPr>
        <w:t>dynamics-aware GNN</w:t>
      </w:r>
      <w:r w:rsidRPr="007861F6">
        <w:rPr>
          <w:rFonts w:ascii="Bell MT" w:hAnsi="Bell MT"/>
        </w:rPr>
        <w:t xml:space="preserve"> architecture from Hsu et al. (2025), </w:t>
      </w:r>
      <w:r w:rsidRPr="007861F6">
        <w:rPr>
          <w:rFonts w:ascii="Bell MT" w:hAnsi="Bell MT"/>
          <w:i/>
          <w:iCs/>
        </w:rPr>
        <w:t>PNAS</w:t>
      </w:r>
      <w:r w:rsidRPr="007861F6">
        <w:rPr>
          <w:rFonts w:ascii="Bell MT" w:hAnsi="Bell MT"/>
        </w:rPr>
        <w:t>, which incorporates protein dynamics via DCI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w:proofErr w:type="spellStart"/>
            <m:r>
              <m:rPr>
                <m:nor/>
              </m:rPr>
              <w:rPr>
                <w:rFonts w:ascii="Bell MT" w:hAnsi="Bell MT"/>
              </w:rPr>
              <m:t>asym</m:t>
            </m:r>
            <w:proofErr w:type="spellEnd"/>
          </m:sub>
        </m:sSub>
      </m:oMath>
      <w:r w:rsidRPr="007861F6">
        <w:rPr>
          <w:rFonts w:ascii="Bell MT" w:hAnsi="Bell MT"/>
        </w:rPr>
        <w:t>. Code available at https://github.com/SBOZKAN/GNN.</w:t>
      </w:r>
    </w:p>
    <w:p w14:paraId="322A16AF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Key specifications:</w:t>
      </w:r>
    </w:p>
    <w:p w14:paraId="13B4F88A" w14:textId="77777777" w:rsidR="007861F6" w:rsidRPr="007861F6" w:rsidRDefault="007861F6" w:rsidP="007861F6">
      <w:pPr>
        <w:numPr>
          <w:ilvl w:val="0"/>
          <w:numId w:val="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Shallow depth (2–3 layers)</w:t>
      </w:r>
      <w:r w:rsidRPr="007861F6">
        <w:rPr>
          <w:rFonts w:ascii="Bell MT" w:hAnsi="Bell MT"/>
        </w:rPr>
        <w:t xml:space="preserve"> to keep the message-passing polynomial low-degree / multilinear.</w:t>
      </w:r>
    </w:p>
    <w:p w14:paraId="20AF8C1E" w14:textId="77777777" w:rsidR="007861F6" w:rsidRPr="007861F6" w:rsidRDefault="007861F6" w:rsidP="007861F6">
      <w:pPr>
        <w:numPr>
          <w:ilvl w:val="0"/>
          <w:numId w:val="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Multiscale Schake architecture</w:t>
      </w:r>
      <w:r w:rsidRPr="007861F6">
        <w:rPr>
          <w:rFonts w:ascii="Bell MT" w:hAnsi="Bell MT"/>
        </w:rPr>
        <w:t xml:space="preserve"> (SAKE for short-range + </w:t>
      </w:r>
      <w:proofErr w:type="spellStart"/>
      <w:r w:rsidRPr="007861F6">
        <w:rPr>
          <w:rFonts w:ascii="Bell MT" w:hAnsi="Bell MT"/>
        </w:rPr>
        <w:t>SchNet</w:t>
      </w:r>
      <w:proofErr w:type="spellEnd"/>
      <w:r w:rsidRPr="007861F6">
        <w:rPr>
          <w:rFonts w:ascii="Bell MT" w:hAnsi="Bell MT"/>
        </w:rPr>
        <w:t xml:space="preserve"> for longer-range) for computational tractability of derivatives. Code: https://github.com/ZhangGroup-MITChemistry/Schake_GNN.</w:t>
      </w:r>
    </w:p>
    <w:p w14:paraId="099F2767" w14:textId="77777777" w:rsidR="007861F6" w:rsidRPr="007861F6" w:rsidRDefault="007861F6" w:rsidP="007861F6">
      <w:pPr>
        <w:numPr>
          <w:ilvl w:val="0"/>
          <w:numId w:val="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Probabilistic output</w:t>
      </w:r>
      <w:r w:rsidRPr="007861F6">
        <w:rPr>
          <w:rFonts w:ascii="Bell MT" w:hAnsi="Bell MT"/>
        </w:rPr>
        <w:t xml:space="preserve"> (mean + variance) trained with negative log-likelihood.</w:t>
      </w:r>
    </w:p>
    <w:p w14:paraId="39B75F5A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Critical baselines to include:</w:t>
      </w:r>
    </w:p>
    <w:p w14:paraId="4AD1DDBB" w14:textId="77777777" w:rsidR="007861F6" w:rsidRPr="007861F6" w:rsidRDefault="007861F6" w:rsidP="007861F6">
      <w:pPr>
        <w:numPr>
          <w:ilvl w:val="0"/>
          <w:numId w:val="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Site-mean baseline:</w:t>
      </w:r>
      <w:r w:rsidRPr="007861F6">
        <w:rPr>
          <w:rFonts w:ascii="Bell MT" w:hAnsi="Bell MT"/>
        </w:rPr>
        <w:t xml:space="preserve"> Predicts the mean fitness at each site. Essential for demonstrating that the GNN captures epistatic effects beyond positional conservation.</w:t>
      </w:r>
    </w:p>
    <w:p w14:paraId="70342732" w14:textId="77777777" w:rsidR="007861F6" w:rsidRPr="007861F6" w:rsidRDefault="007861F6" w:rsidP="007861F6">
      <w:pPr>
        <w:numPr>
          <w:ilvl w:val="0"/>
          <w:numId w:val="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ESM-2 embedding baseline:</w:t>
      </w:r>
      <w:r w:rsidRPr="007861F6">
        <w:rPr>
          <w:rFonts w:ascii="Bell MT" w:hAnsi="Bell MT"/>
        </w:rPr>
        <w:t xml:space="preserve"> The pipeline achieving ROC-AUC 0.792 on NDM-1 mutation tolerance prediction.</w:t>
      </w:r>
    </w:p>
    <w:p w14:paraId="1BD0A852" w14:textId="77777777" w:rsidR="007861F6" w:rsidRPr="007861F6" w:rsidRDefault="007861F6" w:rsidP="007861F6">
      <w:pPr>
        <w:numPr>
          <w:ilvl w:val="0"/>
          <w:numId w:val="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StructureDCA:</w:t>
      </w:r>
      <w:r w:rsidRPr="007861F6">
        <w:rPr>
          <w:rFonts w:ascii="Bell MT" w:hAnsi="Bell MT"/>
        </w:rPr>
        <w:t xml:space="preserve"> Independent computational baseline.</w:t>
      </w:r>
    </w:p>
    <w:p w14:paraId="2ED60EB5" w14:textId="77777777" w:rsidR="007861F6" w:rsidRPr="007861F6" w:rsidRDefault="007861F6" w:rsidP="007861F6">
      <w:pPr>
        <w:numPr>
          <w:ilvl w:val="0"/>
          <w:numId w:val="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DCA-only model:</w:t>
      </w:r>
      <w:r w:rsidRPr="007861F6">
        <w:rPr>
          <w:rFonts w:ascii="Bell MT" w:hAnsi="Bell MT"/>
        </w:rPr>
        <w:t xml:space="preserve"> Direct Coupling Analysis without structural information.</w:t>
      </w:r>
    </w:p>
    <w:p w14:paraId="64FF0314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2.3 Certification Layer (Post-Training)</w:t>
      </w:r>
    </w:p>
    <w:p w14:paraId="2626017D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Option A — Sandwich + Concentration (when degree condition is satisfied)</w:t>
      </w:r>
    </w:p>
    <w:p w14:paraId="1B13EF7B" w14:textId="263B4CEC" w:rsidR="007861F6" w:rsidRPr="007861F6" w:rsidRDefault="007861F6" w:rsidP="007861F6">
      <w:pPr>
        <w:numPr>
          <w:ilvl w:val="0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Apply the Kim-Vu / near-regular sandwich theorem to obtain independent-edge binomial graphs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  <w:r w:rsidRPr="007861F6">
        <w:rPr>
          <w:rFonts w:ascii="Bell MT" w:hAnsi="Bell MT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861F6">
        <w:rPr>
          <w:rFonts w:ascii="Bell MT" w:hAnsi="Bell MT"/>
        </w:rPr>
        <w:t>.</w:t>
      </w:r>
    </w:p>
    <w:p w14:paraId="66D6F7B4" w14:textId="2386FF8F" w:rsidR="007861F6" w:rsidRPr="007861F6" w:rsidRDefault="007861F6" w:rsidP="007861F6">
      <w:pPr>
        <w:numPr>
          <w:ilvl w:val="0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Map the trained GNN’s </w:t>
      </w:r>
      <m:oMath>
        <m:r>
          <w:rPr>
            <w:rFonts w:ascii="Cambria Math" w:hAnsi="Cambria Math"/>
          </w:rPr>
          <m:t>k</m:t>
        </m:r>
      </m:oMath>
      <w:r w:rsidRPr="007861F6">
        <w:rPr>
          <w:rFonts w:ascii="Bell MT" w:hAnsi="Bell MT"/>
        </w:rPr>
        <w:t>-hop aggregation to a multivariate polynomial:</w:t>
      </w:r>
    </w:p>
    <w:p w14:paraId="5FE9B32B" w14:textId="3F32AE01" w:rsidR="007861F6" w:rsidRPr="007861F6" w:rsidRDefault="007861F6" w:rsidP="007861F6">
      <w:pPr>
        <w:spacing w:after="0" w:line="360" w:lineRule="auto"/>
        <w:rPr>
          <w:rFonts w:ascii="Bell MT" w:hAnsi="Bell MT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,j</m:t>
              </m:r>
            </m:sub>
          </m:sSub>
          <m:r>
            <w:rPr>
              <w:rFonts w:ascii="Bell MT" w:hAnsi="Bell MT"/>
            </w:rPr>
            <w:br/>
          </m:r>
        </m:oMath>
      </m:oMathPara>
    </w:p>
    <w:p w14:paraId="238B5F5A" w14:textId="77777777" w:rsidR="007861F6" w:rsidRPr="007861F6" w:rsidRDefault="007861F6" w:rsidP="007861F6">
      <w:pPr>
        <w:numPr>
          <w:ilvl w:val="0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Apply three concentration inequalities side-by-side:</w:t>
      </w:r>
    </w:p>
    <w:p w14:paraId="34D5B44C" w14:textId="77777777" w:rsidR="007861F6" w:rsidRPr="007861F6" w:rsidRDefault="007861F6" w:rsidP="007861F6">
      <w:pPr>
        <w:numPr>
          <w:ilvl w:val="1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Schudy-Sviridenko (2012)</w:t>
      </w:r>
      <w:r w:rsidRPr="007861F6">
        <w:rPr>
          <w:rFonts w:ascii="Bell MT" w:hAnsi="Bell MT"/>
        </w:rPr>
        <w:t xml:space="preserve"> — primary, stronger for high-degree polynomials and small expectations.</w:t>
      </w:r>
    </w:p>
    <w:p w14:paraId="05728EB8" w14:textId="77777777" w:rsidR="007861F6" w:rsidRPr="007861F6" w:rsidRDefault="007861F6" w:rsidP="007861F6">
      <w:pPr>
        <w:numPr>
          <w:ilvl w:val="1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Kim-Vu (2004)</w:t>
      </w:r>
      <w:r w:rsidRPr="007861F6">
        <w:rPr>
          <w:rFonts w:ascii="Bell MT" w:hAnsi="Bell MT"/>
        </w:rPr>
        <w:t xml:space="preserve"> — baseline.</w:t>
      </w:r>
    </w:p>
    <w:p w14:paraId="16D9EAC9" w14:textId="35EC1323" w:rsidR="007861F6" w:rsidRPr="007861F6" w:rsidRDefault="007861F6" w:rsidP="007861F6">
      <w:pPr>
        <w:numPr>
          <w:ilvl w:val="1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Multilinear Bernstein bound</w:t>
      </w:r>
      <w:r w:rsidRPr="007861F6">
        <w:rPr>
          <w:rFonts w:ascii="Bell MT" w:hAnsi="Bell MT"/>
        </w:rPr>
        <w:t xml:space="preserve"> — third comparison, tighter in small-</w:t>
      </w:r>
      <m:oMath>
        <m:r>
          <w:rPr>
            <w:rFonts w:ascii="Cambria Math" w:hAnsi="Cambria Math"/>
          </w:rPr>
          <m:t>λ</m:t>
        </m:r>
      </m:oMath>
      <w:r w:rsidRPr="007861F6">
        <w:rPr>
          <w:rFonts w:ascii="Bell MT" w:hAnsi="Bell MT"/>
        </w:rPr>
        <w:t xml:space="preserve"> regime.</w:t>
      </w:r>
    </w:p>
    <w:p w14:paraId="4110CE80" w14:textId="77777777" w:rsidR="007861F6" w:rsidRPr="007861F6" w:rsidRDefault="007861F6" w:rsidP="007861F6">
      <w:pPr>
        <w:numPr>
          <w:ilvl w:val="0"/>
          <w:numId w:val="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Propagate the tightest bound through the sandwich coupling.</w:t>
      </w:r>
    </w:p>
    <w:p w14:paraId="3CCEE828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Option B — Topology-Aware PAC-Bayes (always available)</w:t>
      </w:r>
    </w:p>
    <w:p w14:paraId="68AD1055" w14:textId="6A316417" w:rsidR="007861F6" w:rsidRPr="007861F6" w:rsidRDefault="007861F6" w:rsidP="007861F6">
      <w:pPr>
        <w:numPr>
          <w:ilvl w:val="0"/>
          <w:numId w:val="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Compute graph-theoretic quantities: maximum degree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7861F6">
        <w:rPr>
          <w:rFonts w:ascii="Bell MT" w:hAnsi="Bell MT"/>
        </w:rPr>
        <w:t>, spectral norm of the diffusion / Laplacian matrix, localized subgraph densities.</w:t>
      </w:r>
    </w:p>
    <w:p w14:paraId="525889DC" w14:textId="77777777" w:rsidR="007861F6" w:rsidRPr="007861F6" w:rsidRDefault="007861F6" w:rsidP="007861F6">
      <w:pPr>
        <w:numPr>
          <w:ilvl w:val="0"/>
          <w:numId w:val="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Derive a topology-aware PAC-Bayesian generalization bound that scales with these quantities and the spectral norms of the weight matrices.</w:t>
      </w:r>
    </w:p>
    <w:p w14:paraId="29AD95DD" w14:textId="4D1E5448" w:rsidR="007861F6" w:rsidRPr="007861F6" w:rsidRDefault="007861F6" w:rsidP="007861F6">
      <w:pPr>
        <w:numPr>
          <w:ilvl w:val="0"/>
          <w:numId w:val="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Localize the bound per residue to obtain a certified structural confidence score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</w:rPr>
        <w:t>.</w:t>
      </w:r>
    </w:p>
    <w:p w14:paraId="035B0A11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Key PAC-Bayes form:</w:t>
      </w:r>
    </w:p>
    <w:p w14:paraId="569DEC4A" w14:textId="07783140" w:rsidR="007861F6" w:rsidRPr="007861F6" w:rsidRDefault="007861F6" w:rsidP="007861F6">
      <w:pPr>
        <w:spacing w:after="0" w:line="360" w:lineRule="auto"/>
        <w:rPr>
          <w:rFonts w:ascii="Bell MT" w:hAnsi="Bell M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Bell MT" w:hAnsi="Bell MT"/>
                </w:rPr>
                <m:t>test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Bell MT" w:hAnsi="Bell MT"/>
                </w:rPr>
                <m:t>train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Q∥P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1/δ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2m</m:t>
                  </m:r>
                </m:den>
              </m:f>
            </m:e>
          </m:rad>
          <m:r>
            <w:rPr>
              <w:rFonts w:ascii="Bell MT" w:hAnsi="Bell MT"/>
            </w:rPr>
            <w:br/>
          </m:r>
        </m:oMath>
      </m:oMathPara>
    </w:p>
    <w:p w14:paraId="037EC2FB" w14:textId="2E8DB0BC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Your contribution is to derive </w:t>
      </w:r>
      <m:oMath>
        <m:r>
          <m:rPr>
            <m:sty m:val="p"/>
          </m:rPr>
          <w:rPr>
            <w:rFonts w:ascii="Cambria Math" w:hAnsi="Cambria Math"/>
          </w:rPr>
          <m:t>KL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Q∥P</m:t>
            </m:r>
          </m:e>
        </m:d>
      </m:oMath>
      <w:r w:rsidRPr="007861F6">
        <w:rPr>
          <w:rFonts w:ascii="Bell MT" w:hAnsi="Bell MT"/>
        </w:rPr>
        <w:t>using the sandwich theorem (for graph structure) and the concentration inequality (for polynomial tail bounds), incorporating the topology-aware terms that account for the spectral properties of the NDM-1 residue interaction network.</w:t>
      </w:r>
    </w:p>
    <w:p w14:paraId="310AC078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2.4 Output of SANDCERT</w:t>
      </w:r>
    </w:p>
    <w:p w14:paraId="048698A9" w14:textId="046BF82A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For each residue </w:t>
      </w:r>
      <m:oMath>
        <m:r>
          <w:rPr>
            <w:rFonts w:ascii="Cambria Math" w:hAnsi="Cambria Math"/>
          </w:rPr>
          <m:t>i</m:t>
        </m:r>
      </m:oMath>
      <w:r w:rsidRPr="007861F6">
        <w:rPr>
          <w:rFonts w:ascii="Bell MT" w:hAnsi="Bell MT"/>
        </w:rPr>
        <w:t>:</w:t>
      </w:r>
    </w:p>
    <w:p w14:paraId="3A9B2F70" w14:textId="29F601DD" w:rsidR="007861F6" w:rsidRPr="007861F6" w:rsidRDefault="007861F6" w:rsidP="007861F6">
      <w:pPr>
        <w:spacing w:after="0" w:line="360" w:lineRule="auto"/>
        <w:rPr>
          <w:rFonts w:ascii="Bell MT" w:hAnsi="Bell M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Bell MT" w:hAnsi="Bell MT"/>
            </w:rPr>
            <m:t>certified upper bound on prediction error at position </m:t>
          </m:r>
          <m:r>
            <w:rPr>
              <w:rFonts w:ascii="Cambria Math" w:hAnsi="Cambria Math"/>
            </w:rPr>
            <m:t>i</m:t>
          </m:r>
          <m:r>
            <w:rPr>
              <w:rFonts w:ascii="Bell MT" w:hAnsi="Bell MT"/>
              <w:i/>
            </w:rPr>
            <w:br/>
          </m:r>
        </m:oMath>
      </m:oMathPara>
    </w:p>
    <w:p w14:paraId="6E779D52" w14:textId="54C9D4AD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Interpretation:</w:t>
      </w:r>
      <w:r w:rsidRPr="007861F6">
        <w:rPr>
          <w:rFonts w:ascii="Bell MT" w:hAnsi="Bell MT"/>
        </w:rPr>
        <w:t xml:space="preserve"> “With probability at least </w:t>
      </w:r>
      <m:oMath>
        <m:r>
          <w:rPr>
            <w:rFonts w:ascii="Cambria Math" w:hAnsi="Cambria Math"/>
          </w:rPr>
          <m:t>1-δ</m:t>
        </m:r>
      </m:oMath>
      <w:r w:rsidRPr="007861F6">
        <w:rPr>
          <w:rFonts w:ascii="Bell MT" w:hAnsi="Bell MT"/>
        </w:rPr>
        <w:t xml:space="preserve">, the absolute error of any prediction about mutations at residue </w:t>
      </w:r>
      <m:oMath>
        <m:r>
          <w:rPr>
            <w:rFonts w:ascii="Cambria Math" w:hAnsi="Cambria Math"/>
          </w:rPr>
          <m:t>i</m:t>
        </m:r>
      </m:oMath>
      <w:r w:rsidRPr="007861F6">
        <w:rPr>
          <w:rFonts w:ascii="Bell MT" w:hAnsi="Bell MT"/>
        </w:rPr>
        <w:t xml:space="preserve">is at most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</w:rPr>
        <w:t>.”</w:t>
      </w:r>
    </w:p>
    <w:p w14:paraId="7DDB577C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This score is used to:</w:t>
      </w:r>
    </w:p>
    <w:p w14:paraId="62B82442" w14:textId="77777777" w:rsidR="007861F6" w:rsidRPr="007861F6" w:rsidRDefault="007861F6" w:rsidP="007861F6">
      <w:pPr>
        <w:numPr>
          <w:ilvl w:val="0"/>
          <w:numId w:val="6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Filter overconfident AlphaFold / ESM predictions,</w:t>
      </w:r>
    </w:p>
    <w:p w14:paraId="4D53EDB0" w14:textId="77777777" w:rsidR="007861F6" w:rsidRPr="007861F6" w:rsidRDefault="007861F6" w:rsidP="007861F6">
      <w:pPr>
        <w:numPr>
          <w:ilvl w:val="0"/>
          <w:numId w:val="6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Prioritize experimental validation,</w:t>
      </w:r>
    </w:p>
    <w:p w14:paraId="27D2607D" w14:textId="77777777" w:rsidR="007861F6" w:rsidRPr="007861F6" w:rsidRDefault="007861F6" w:rsidP="007861F6">
      <w:pPr>
        <w:numPr>
          <w:ilvl w:val="0"/>
          <w:numId w:val="6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Guide inhibitor docking by masking unreliable regions,</w:t>
      </w:r>
    </w:p>
    <w:p w14:paraId="4CCC764C" w14:textId="23A4A0F8" w:rsidR="007861F6" w:rsidRPr="007861F6" w:rsidRDefault="007861F6" w:rsidP="007861F6">
      <w:pPr>
        <w:numPr>
          <w:ilvl w:val="0"/>
          <w:numId w:val="6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Anticipate evolutionary hotspots (intermediate-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</w:rPr>
        <w:t xml:space="preserve"> residues).</w:t>
      </w:r>
    </w:p>
    <w:p w14:paraId="5AE3281C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lastRenderedPageBreak/>
        <w:t>Part III: Data Acquisition</w:t>
      </w:r>
    </w:p>
    <w:p w14:paraId="5786A698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3.1 Primary Dataset: NDM-1 DMS Fitness Data</w:t>
      </w:r>
    </w:p>
    <w:p w14:paraId="63B1E8B0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From Chen et al. (2024), </w:t>
      </w:r>
      <w:r w:rsidRPr="007861F6">
        <w:rPr>
          <w:rFonts w:ascii="Bell MT" w:hAnsi="Bell MT"/>
          <w:i/>
          <w:iCs/>
        </w:rPr>
        <w:t>Nature Communications</w:t>
      </w:r>
      <w:r w:rsidRPr="007861F6">
        <w:rPr>
          <w:rFonts w:ascii="Bell MT" w:hAnsi="Bell MT"/>
        </w:rPr>
        <w:t>, 15, 8441.</w:t>
      </w:r>
    </w:p>
    <w:p w14:paraId="3B388F1D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Access:</w:t>
      </w:r>
      <w:r w:rsidRPr="007861F6">
        <w:rPr>
          <w:rFonts w:ascii="Bell MT" w:hAnsi="Bell MT"/>
        </w:rPr>
        <w:t xml:space="preserve"> Download </w:t>
      </w:r>
      <w:r w:rsidRPr="007861F6">
        <w:rPr>
          <w:rFonts w:ascii="Bell MT" w:hAnsi="Bell MT"/>
          <w:b/>
          <w:bCs/>
        </w:rPr>
        <w:t>“Supplementary Data 3”</w:t>
      </w:r>
      <w:r w:rsidRPr="007861F6">
        <w:rPr>
          <w:rFonts w:ascii="Bell MT" w:hAnsi="Bell MT"/>
        </w:rPr>
        <w:t xml:space="preserve"> from https://www.nature.com/articles/s41467-024-52614-w.</w:t>
      </w:r>
    </w:p>
    <w:p w14:paraId="03D729F3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Data characteristics:</w:t>
      </w:r>
      <w:r w:rsidRPr="007861F6">
        <w:rPr>
          <w:rFonts w:ascii="Bell MT" w:hAnsi="Bell MT"/>
        </w:rPr>
        <w:t xml:space="preserve"> ~5,057 missense mutations across three antibiotics (ampicillin, cefotaxime, imipenem) at three concentrations each. Replicate correlations available for </w:t>
      </w:r>
      <w:proofErr w:type="spellStart"/>
      <w:r w:rsidRPr="007861F6">
        <w:rPr>
          <w:rFonts w:ascii="Bell MT" w:hAnsi="Bell MT"/>
        </w:rPr>
        <w:t>modeling</w:t>
      </w:r>
      <w:proofErr w:type="spellEnd"/>
      <w:r w:rsidRPr="007861F6">
        <w:rPr>
          <w:rFonts w:ascii="Bell MT" w:hAnsi="Bell MT"/>
        </w:rPr>
        <w:t xml:space="preserve"> measurement uncertainty. For NDM-1, only </w:t>
      </w:r>
      <w:r w:rsidRPr="007861F6">
        <w:rPr>
          <w:rFonts w:ascii="Bell MT" w:hAnsi="Bell MT"/>
          <w:b/>
          <w:bCs/>
        </w:rPr>
        <w:t>0.24% (12/5057)</w:t>
      </w:r>
      <w:r w:rsidRPr="007861F6">
        <w:rPr>
          <w:rFonts w:ascii="Bell MT" w:hAnsi="Bell MT"/>
        </w:rPr>
        <w:t xml:space="preserve"> of missense mutations resulted in measurable deleterious collateral fitness effects in both replicates.</w:t>
      </w:r>
    </w:p>
    <w:p w14:paraId="7070FDA8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Raw data (if needed):</w:t>
      </w:r>
      <w:r w:rsidRPr="007861F6">
        <w:rPr>
          <w:rFonts w:ascii="Bell MT" w:hAnsi="Bell MT"/>
        </w:rPr>
        <w:t xml:space="preserve"> NCBI SRA under BioProject </w:t>
      </w:r>
      <w:r w:rsidRPr="007861F6">
        <w:rPr>
          <w:rFonts w:ascii="Bell MT" w:hAnsi="Bell MT"/>
          <w:b/>
          <w:bCs/>
        </w:rPr>
        <w:t>PRJNA974578</w:t>
      </w:r>
      <w:r w:rsidRPr="007861F6">
        <w:rPr>
          <w:rFonts w:ascii="Bell MT" w:hAnsi="Bell MT"/>
        </w:rPr>
        <w:t>.</w:t>
      </w:r>
    </w:p>
    <w:p w14:paraId="39C00094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3.2 Structural Data</w:t>
      </w:r>
    </w:p>
    <w:p w14:paraId="15E312FF" w14:textId="77777777" w:rsidR="007861F6" w:rsidRPr="007861F6" w:rsidRDefault="007861F6" w:rsidP="007861F6">
      <w:pPr>
        <w:numPr>
          <w:ilvl w:val="0"/>
          <w:numId w:val="7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PDB ID: 3SPU</w:t>
      </w:r>
    </w:p>
    <w:p w14:paraId="435C8353" w14:textId="77777777" w:rsidR="007861F6" w:rsidRPr="007861F6" w:rsidRDefault="007861F6" w:rsidP="007861F6">
      <w:pPr>
        <w:numPr>
          <w:ilvl w:val="0"/>
          <w:numId w:val="7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PDB ID: 5ZGY</w:t>
      </w:r>
      <w:r w:rsidRPr="007861F6">
        <w:rPr>
          <w:rFonts w:ascii="Bell MT" w:hAnsi="Bell MT"/>
        </w:rPr>
        <w:t xml:space="preserve"> (high-resolution)</w:t>
      </w:r>
    </w:p>
    <w:p w14:paraId="4F26D3F4" w14:textId="77777777" w:rsidR="007861F6" w:rsidRPr="007861F6" w:rsidRDefault="007861F6" w:rsidP="007861F6">
      <w:pPr>
        <w:numPr>
          <w:ilvl w:val="0"/>
          <w:numId w:val="7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Construct: residues </w:t>
      </w:r>
      <w:r w:rsidRPr="007861F6">
        <w:rPr>
          <w:rFonts w:ascii="Bell MT" w:hAnsi="Bell MT"/>
          <w:b/>
          <w:bCs/>
        </w:rPr>
        <w:t>M27 to R270</w:t>
      </w:r>
      <w:r w:rsidRPr="007861F6">
        <w:rPr>
          <w:rFonts w:ascii="Bell MT" w:hAnsi="Bell MT"/>
        </w:rPr>
        <w:t xml:space="preserve"> (~244 residues).</w:t>
      </w:r>
    </w:p>
    <w:p w14:paraId="1F9E1873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3.3 Complementary Datasets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5499"/>
        <w:gridCol w:w="1279"/>
        <w:gridCol w:w="1154"/>
      </w:tblGrid>
      <w:tr w:rsidR="007861F6" w:rsidRPr="007861F6" w14:paraId="2148C62D" w14:textId="77777777" w:rsidTr="007861F6">
        <w:tc>
          <w:tcPr>
            <w:tcW w:w="0" w:type="auto"/>
            <w:hideMark/>
          </w:tcPr>
          <w:p w14:paraId="0F1CC15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Dataset</w:t>
            </w:r>
          </w:p>
        </w:tc>
        <w:tc>
          <w:tcPr>
            <w:tcW w:w="0" w:type="auto"/>
            <w:hideMark/>
          </w:tcPr>
          <w:p w14:paraId="5D318D4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Source</w:t>
            </w:r>
          </w:p>
        </w:tc>
        <w:tc>
          <w:tcPr>
            <w:tcW w:w="0" w:type="auto"/>
            <w:hideMark/>
          </w:tcPr>
          <w:p w14:paraId="5105CDD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Purpose</w:t>
            </w:r>
          </w:p>
        </w:tc>
        <w:tc>
          <w:tcPr>
            <w:tcW w:w="0" w:type="auto"/>
            <w:hideMark/>
          </w:tcPr>
          <w:p w14:paraId="66B74E6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Priority</w:t>
            </w:r>
          </w:p>
        </w:tc>
      </w:tr>
      <w:tr w:rsidR="007861F6" w:rsidRPr="007861F6" w14:paraId="5908D69F" w14:textId="77777777" w:rsidTr="007861F6">
        <w:tc>
          <w:tcPr>
            <w:tcW w:w="0" w:type="auto"/>
            <w:hideMark/>
          </w:tcPr>
          <w:p w14:paraId="7FE77B9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StructureDCA (2026)</w:t>
            </w:r>
          </w:p>
        </w:tc>
        <w:tc>
          <w:tcPr>
            <w:tcW w:w="0" w:type="auto"/>
            <w:hideMark/>
          </w:tcPr>
          <w:p w14:paraId="6E7E635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Zenodo: https://zenodo.org/records/18955525</w:t>
            </w:r>
          </w:p>
        </w:tc>
        <w:tc>
          <w:tcPr>
            <w:tcW w:w="0" w:type="auto"/>
            <w:hideMark/>
          </w:tcPr>
          <w:p w14:paraId="01B6060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NDM-1 and VIM-2 epistatic predictions</w:t>
            </w:r>
          </w:p>
        </w:tc>
        <w:tc>
          <w:tcPr>
            <w:tcW w:w="0" w:type="auto"/>
            <w:hideMark/>
          </w:tcPr>
          <w:p w14:paraId="3F130DE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High</w:t>
            </w:r>
          </w:p>
        </w:tc>
      </w:tr>
      <w:tr w:rsidR="007861F6" w:rsidRPr="007861F6" w14:paraId="2ADE7CD4" w14:textId="77777777" w:rsidTr="007861F6">
        <w:tc>
          <w:tcPr>
            <w:tcW w:w="0" w:type="auto"/>
            <w:hideMark/>
          </w:tcPr>
          <w:p w14:paraId="431E66B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NDM Variant Database (2025)</w:t>
            </w:r>
          </w:p>
        </w:tc>
        <w:tc>
          <w:tcPr>
            <w:tcW w:w="0" w:type="auto"/>
            <w:hideMark/>
          </w:tcPr>
          <w:p w14:paraId="0057ED0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Zenodo: https://zenodo.org/records/15063609</w:t>
            </w:r>
          </w:p>
        </w:tc>
        <w:tc>
          <w:tcPr>
            <w:tcW w:w="0" w:type="auto"/>
            <w:hideMark/>
          </w:tcPr>
          <w:p w14:paraId="482CD7E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NDM1–NDM58 variant sequences</w:t>
            </w:r>
          </w:p>
        </w:tc>
        <w:tc>
          <w:tcPr>
            <w:tcW w:w="0" w:type="auto"/>
            <w:hideMark/>
          </w:tcPr>
          <w:p w14:paraId="7B63486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High</w:t>
            </w:r>
          </w:p>
        </w:tc>
      </w:tr>
      <w:tr w:rsidR="007861F6" w:rsidRPr="007861F6" w14:paraId="601F40BE" w14:textId="77777777" w:rsidTr="007861F6">
        <w:tc>
          <w:tcPr>
            <w:tcW w:w="0" w:type="auto"/>
            <w:hideMark/>
          </w:tcPr>
          <w:p w14:paraId="346794F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HDX-MS Dataset (2025)</w:t>
            </w:r>
          </w:p>
        </w:tc>
        <w:tc>
          <w:tcPr>
            <w:tcW w:w="0" w:type="auto"/>
            <w:hideMark/>
          </w:tcPr>
          <w:p w14:paraId="04CB0AF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NIAID: https://data-staging.niaid.nih.gov/resources?id=figshare_29614132</w:t>
            </w:r>
          </w:p>
        </w:tc>
        <w:tc>
          <w:tcPr>
            <w:tcW w:w="0" w:type="auto"/>
            <w:hideMark/>
          </w:tcPr>
          <w:p w14:paraId="7C7199B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 xml:space="preserve">M154L validation; </w:t>
            </w:r>
            <w:r w:rsidRPr="007861F6">
              <w:rPr>
                <w:rFonts w:ascii="Cambria" w:hAnsi="Cambria" w:cs="Cambria"/>
              </w:rPr>
              <w:t>α</w:t>
            </w:r>
            <w:r w:rsidRPr="007861F6">
              <w:rPr>
                <w:rFonts w:ascii="Bell MT" w:hAnsi="Bell MT"/>
              </w:rPr>
              <w:t>3</w:t>
            </w:r>
            <w:r w:rsidRPr="007861F6">
              <w:rPr>
                <w:rFonts w:ascii="Bell MT" w:hAnsi="Bell MT" w:cs="Bell MT"/>
              </w:rPr>
              <w:t>–</w:t>
            </w:r>
            <w:r w:rsidRPr="007861F6">
              <w:rPr>
                <w:rFonts w:ascii="Bell MT" w:hAnsi="Bell MT"/>
              </w:rPr>
              <w:t>L8</w:t>
            </w:r>
            <w:r w:rsidRPr="007861F6">
              <w:rPr>
                <w:rFonts w:ascii="Bell MT" w:hAnsi="Bell MT" w:cs="Bell MT"/>
              </w:rPr>
              <w:t>–</w:t>
            </w:r>
            <w:r w:rsidRPr="007861F6">
              <w:rPr>
                <w:rFonts w:ascii="Cambria" w:hAnsi="Cambria" w:cs="Cambria"/>
              </w:rPr>
              <w:t>β</w:t>
            </w:r>
            <w:r w:rsidRPr="007861F6">
              <w:rPr>
                <w:rFonts w:ascii="Bell MT" w:hAnsi="Bell MT"/>
              </w:rPr>
              <w:t>8 allosteric region</w:t>
            </w:r>
          </w:p>
        </w:tc>
        <w:tc>
          <w:tcPr>
            <w:tcW w:w="0" w:type="auto"/>
            <w:hideMark/>
          </w:tcPr>
          <w:p w14:paraId="2D242EA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Medium-High</w:t>
            </w:r>
          </w:p>
        </w:tc>
      </w:tr>
      <w:tr w:rsidR="007861F6" w:rsidRPr="007861F6" w14:paraId="2A228ECB" w14:textId="77777777" w:rsidTr="007861F6">
        <w:tc>
          <w:tcPr>
            <w:tcW w:w="0" w:type="auto"/>
            <w:hideMark/>
          </w:tcPr>
          <w:p w14:paraId="2A03A51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VIM-2 DMS Data</w:t>
            </w:r>
          </w:p>
        </w:tc>
        <w:tc>
          <w:tcPr>
            <w:tcW w:w="0" w:type="auto"/>
            <w:hideMark/>
          </w:tcPr>
          <w:p w14:paraId="68E07A8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Chen et al. (2024)</w:t>
            </w:r>
          </w:p>
        </w:tc>
        <w:tc>
          <w:tcPr>
            <w:tcW w:w="0" w:type="auto"/>
            <w:hideMark/>
          </w:tcPr>
          <w:p w14:paraId="06C988D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Cross-protein validation</w:t>
            </w:r>
          </w:p>
        </w:tc>
        <w:tc>
          <w:tcPr>
            <w:tcW w:w="0" w:type="auto"/>
            <w:hideMark/>
          </w:tcPr>
          <w:p w14:paraId="7C92E32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High</w:t>
            </w:r>
          </w:p>
        </w:tc>
      </w:tr>
    </w:tbl>
    <w:p w14:paraId="0ACCBA05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lastRenderedPageBreak/>
        <w:t>BLDB statistics:</w:t>
      </w:r>
      <w:r w:rsidRPr="007861F6">
        <w:rPr>
          <w:rFonts w:ascii="Bell MT" w:hAnsi="Bell MT"/>
        </w:rPr>
        <w:t xml:space="preserve"> As of January 2025, </w:t>
      </w:r>
      <w:r w:rsidRPr="007861F6">
        <w:rPr>
          <w:rFonts w:ascii="Bell MT" w:hAnsi="Bell MT"/>
          <w:b/>
          <w:bCs/>
        </w:rPr>
        <w:t>69 NDM variants</w:t>
      </w:r>
      <w:r w:rsidRPr="007861F6">
        <w:rPr>
          <w:rFonts w:ascii="Bell MT" w:hAnsi="Bell MT"/>
        </w:rPr>
        <w:t xml:space="preserve"> identified. As of November 2025, amino acid substitutions observed at </w:t>
      </w:r>
      <w:r w:rsidRPr="007861F6">
        <w:rPr>
          <w:rFonts w:ascii="Bell MT" w:hAnsi="Bell MT"/>
          <w:b/>
          <w:bCs/>
        </w:rPr>
        <w:t>67 of 270 protein positions</w:t>
      </w:r>
      <w:r w:rsidRPr="007861F6">
        <w:rPr>
          <w:rFonts w:ascii="Bell MT" w:hAnsi="Bell MT"/>
        </w:rPr>
        <w:t xml:space="preserve">; NDM variants typically exhibit </w:t>
      </w:r>
      <w:r w:rsidRPr="007861F6">
        <w:rPr>
          <w:rFonts w:ascii="Bell MT" w:hAnsi="Bell MT"/>
          <w:b/>
          <w:bCs/>
        </w:rPr>
        <w:t>1–6 substitutions</w:t>
      </w:r>
      <w:r w:rsidRPr="007861F6">
        <w:rPr>
          <w:rFonts w:ascii="Bell MT" w:hAnsi="Bell MT"/>
        </w:rPr>
        <w:t xml:space="preserve"> vs. NDM-1, the most prevalent being </w:t>
      </w:r>
      <w:r w:rsidRPr="007861F6">
        <w:rPr>
          <w:rFonts w:ascii="Bell MT" w:hAnsi="Bell MT"/>
          <w:b/>
          <w:bCs/>
        </w:rPr>
        <w:t>M154L</w:t>
      </w:r>
      <w:r w:rsidRPr="007861F6">
        <w:rPr>
          <w:rFonts w:ascii="Bell MT" w:hAnsi="Bell MT"/>
        </w:rPr>
        <w:t xml:space="preserve"> and </w:t>
      </w:r>
      <w:r w:rsidRPr="007861F6">
        <w:rPr>
          <w:rFonts w:ascii="Bell MT" w:hAnsi="Bell MT"/>
          <w:b/>
          <w:bCs/>
        </w:rPr>
        <w:t>V88L</w:t>
      </w:r>
      <w:r w:rsidRPr="007861F6">
        <w:rPr>
          <w:rFonts w:ascii="Bell MT" w:hAnsi="Bell MT"/>
        </w:rPr>
        <w:t>, observed in 50 and 39 NDM variants respectively.</w:t>
      </w:r>
    </w:p>
    <w:p w14:paraId="6B09151A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IV: Evaluation Protocol (Non-Negotiable)</w:t>
      </w:r>
    </w:p>
    <w:p w14:paraId="567B64A1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4.1 Position-Disjoint Splits</w:t>
      </w:r>
    </w:p>
    <w:p w14:paraId="56D05AC4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Split the 244 positions into training (70%), validation (15%), and test (15%). Ensure no position appears in more than one set. Random splits are vulnerable to overly optimistic results because variants from the same position appear in both training and test sets.</w:t>
      </w:r>
    </w:p>
    <w:p w14:paraId="1236E8B9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4.2 Noise Ceiling</w:t>
      </w:r>
    </w:p>
    <w:p w14:paraId="5F8ABAAD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Compute the </w:t>
      </w:r>
      <w:r w:rsidRPr="007861F6">
        <w:rPr>
          <w:rFonts w:ascii="Bell MT" w:hAnsi="Bell MT"/>
          <w:b/>
          <w:bCs/>
        </w:rPr>
        <w:t>replicate correlation</w:t>
      </w:r>
      <w:r w:rsidRPr="007861F6">
        <w:rPr>
          <w:rFonts w:ascii="Bell MT" w:hAnsi="Bell MT"/>
        </w:rPr>
        <w:t xml:space="preserve"> of the NDM-1 DMS data. Use this as an upper bound on achievable performance. Report performance </w:t>
      </w:r>
      <w:r w:rsidRPr="007861F6">
        <w:rPr>
          <w:rFonts w:ascii="Bell MT" w:hAnsi="Bell MT"/>
          <w:b/>
          <w:bCs/>
        </w:rPr>
        <w:t>relative to the noise ceiling</w:t>
      </w:r>
      <w:r w:rsidRPr="007861F6">
        <w:rPr>
          <w:rFonts w:ascii="Bell MT" w:hAnsi="Bell MT"/>
        </w:rPr>
        <w:t>, not in absolute terms.</w:t>
      </w:r>
    </w:p>
    <w:p w14:paraId="682864E6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4.3 Model Measurement Uncertainty</w:t>
      </w:r>
    </w:p>
    <w:p w14:paraId="70B3B487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Use a </w:t>
      </w:r>
      <w:r w:rsidRPr="007861F6">
        <w:rPr>
          <w:rFonts w:ascii="Bell MT" w:hAnsi="Bell MT"/>
          <w:b/>
          <w:bCs/>
        </w:rPr>
        <w:t>probabilistic GNN</w:t>
      </w:r>
      <w:r w:rsidRPr="007861F6">
        <w:rPr>
          <w:rFonts w:ascii="Bell MT" w:hAnsi="Bell MT"/>
        </w:rPr>
        <w:t xml:space="preserve"> that outputs a mean and variance for each prediction. Train with </w:t>
      </w:r>
      <w:r w:rsidRPr="007861F6">
        <w:rPr>
          <w:rFonts w:ascii="Bell MT" w:hAnsi="Bell MT"/>
          <w:b/>
          <w:bCs/>
        </w:rPr>
        <w:t>negative log-likelihood loss</w:t>
      </w:r>
      <w:r w:rsidRPr="007861F6">
        <w:rPr>
          <w:rFonts w:ascii="Bell MT" w:hAnsi="Bell MT"/>
        </w:rPr>
        <w:t xml:space="preserve">. Use the </w:t>
      </w:r>
      <w:r w:rsidRPr="007861F6">
        <w:rPr>
          <w:rFonts w:ascii="Bell MT" w:hAnsi="Bell MT"/>
          <w:b/>
          <w:bCs/>
        </w:rPr>
        <w:t>DMS-</w:t>
      </w:r>
      <w:proofErr w:type="spellStart"/>
      <w:r w:rsidRPr="007861F6">
        <w:rPr>
          <w:rFonts w:ascii="Bell MT" w:hAnsi="Bell MT"/>
          <w:b/>
          <w:bCs/>
        </w:rPr>
        <w:t>FastQ</w:t>
      </w:r>
      <w:proofErr w:type="spellEnd"/>
      <w:r w:rsidRPr="007861F6">
        <w:rPr>
          <w:rFonts w:ascii="Bell MT" w:hAnsi="Bell MT"/>
          <w:b/>
          <w:bCs/>
        </w:rPr>
        <w:t xml:space="preserve"> processing pipeline</w:t>
      </w:r>
      <w:r w:rsidRPr="007861F6">
        <w:rPr>
          <w:rFonts w:ascii="Bell MT" w:hAnsi="Bell MT"/>
        </w:rPr>
        <w:t xml:space="preserve"> (https://github.com/johnchen93/DMS-FastQ-processing) with bootstrapped read sampling to generate an ensemble of fitness estimates.</w:t>
      </w:r>
    </w:p>
    <w:p w14:paraId="39218B3D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4.4 Bound Tightness Validation</w:t>
      </w:r>
    </w:p>
    <w:p w14:paraId="56E78816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Compare your theoretical bound against the empirical generalization gap on NDM-1 DMS data under position-disjoint evaluation. Compare against:</w:t>
      </w:r>
    </w:p>
    <w:p w14:paraId="0B5CA789" w14:textId="77777777" w:rsidR="007861F6" w:rsidRPr="007861F6" w:rsidRDefault="007861F6" w:rsidP="007861F6">
      <w:pPr>
        <w:numPr>
          <w:ilvl w:val="0"/>
          <w:numId w:val="8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VC-dimension bounds</w:t>
      </w:r>
    </w:p>
    <w:p w14:paraId="7C93E9B0" w14:textId="77777777" w:rsidR="007861F6" w:rsidRPr="007861F6" w:rsidRDefault="007861F6" w:rsidP="007861F6">
      <w:pPr>
        <w:numPr>
          <w:ilvl w:val="0"/>
          <w:numId w:val="8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Rademacher complexity bounds</w:t>
      </w:r>
    </w:p>
    <w:p w14:paraId="51790A9C" w14:textId="77777777" w:rsidR="007861F6" w:rsidRPr="007861F6" w:rsidRDefault="007861F6" w:rsidP="007861F6">
      <w:pPr>
        <w:numPr>
          <w:ilvl w:val="0"/>
          <w:numId w:val="8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Site-mean baseline performance</w:t>
      </w:r>
    </w:p>
    <w:p w14:paraId="2B98DE50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4.5 Cross-Protein and Clinical Validation</w:t>
      </w:r>
    </w:p>
    <w:p w14:paraId="22955C29" w14:textId="77777777" w:rsidR="007861F6" w:rsidRPr="007861F6" w:rsidRDefault="007861F6" w:rsidP="007861F6">
      <w:pPr>
        <w:numPr>
          <w:ilvl w:val="0"/>
          <w:numId w:val="9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VIM-2 validation:</w:t>
      </w:r>
      <w:r w:rsidRPr="007861F6">
        <w:rPr>
          <w:rFonts w:ascii="Bell MT" w:hAnsi="Bell MT"/>
        </w:rPr>
        <w:t xml:space="preserve"> Test whether the NDM-1-derived bound transfers to VIM-2.</w:t>
      </w:r>
    </w:p>
    <w:p w14:paraId="56FD541B" w14:textId="77777777" w:rsidR="007861F6" w:rsidRPr="007861F6" w:rsidRDefault="007861F6" w:rsidP="007861F6">
      <w:pPr>
        <w:numPr>
          <w:ilvl w:val="0"/>
          <w:numId w:val="9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Clinical variants:</w:t>
      </w:r>
      <w:r w:rsidRPr="007861F6">
        <w:rPr>
          <w:rFonts w:ascii="Bell MT" w:hAnsi="Bell MT"/>
        </w:rPr>
        <w:t xml:space="preserve"> Test predictions on the 69 NDM variants from BLDB.</w:t>
      </w:r>
    </w:p>
    <w:p w14:paraId="4F906706" w14:textId="77777777" w:rsidR="007861F6" w:rsidRPr="007861F6" w:rsidRDefault="007861F6" w:rsidP="007861F6">
      <w:pPr>
        <w:numPr>
          <w:ilvl w:val="0"/>
          <w:numId w:val="9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M154L mutation:</w:t>
      </w:r>
      <w:r w:rsidRPr="007861F6">
        <w:rPr>
          <w:rFonts w:ascii="Bell MT" w:hAnsi="Bell MT"/>
        </w:rPr>
        <w:t xml:space="preserve"> Validate against HDX-MS findings that M154L reshapes conformational flexibility in the </w:t>
      </w:r>
      <w:r w:rsidRPr="007861F6">
        <w:rPr>
          <w:rFonts w:ascii="Cambria" w:hAnsi="Cambria" w:cs="Cambria"/>
        </w:rPr>
        <w:t>α</w:t>
      </w:r>
      <w:r w:rsidRPr="007861F6">
        <w:rPr>
          <w:rFonts w:ascii="Bell MT" w:hAnsi="Bell MT"/>
        </w:rPr>
        <w:t>3</w:t>
      </w:r>
      <w:r w:rsidRPr="007861F6">
        <w:rPr>
          <w:rFonts w:ascii="Bell MT" w:hAnsi="Bell MT" w:cs="Bell MT"/>
        </w:rPr>
        <w:t>–</w:t>
      </w:r>
      <w:r w:rsidRPr="007861F6">
        <w:rPr>
          <w:rFonts w:ascii="Bell MT" w:hAnsi="Bell MT"/>
        </w:rPr>
        <w:t>L8</w:t>
      </w:r>
      <w:r w:rsidRPr="007861F6">
        <w:rPr>
          <w:rFonts w:ascii="Bell MT" w:hAnsi="Bell MT" w:cs="Bell MT"/>
        </w:rPr>
        <w:t>–</w:t>
      </w:r>
      <w:r w:rsidRPr="007861F6">
        <w:rPr>
          <w:rFonts w:ascii="Cambria" w:hAnsi="Cambria" w:cs="Cambria"/>
        </w:rPr>
        <w:t>β</w:t>
      </w:r>
      <w:r w:rsidRPr="007861F6">
        <w:rPr>
          <w:rFonts w:ascii="Bell MT" w:hAnsi="Bell MT"/>
        </w:rPr>
        <w:t>8 allosteric region.</w:t>
      </w:r>
    </w:p>
    <w:p w14:paraId="71CD3B80" w14:textId="77777777" w:rsidR="007861F6" w:rsidRPr="007861F6" w:rsidRDefault="007861F6" w:rsidP="007861F6">
      <w:pPr>
        <w:numPr>
          <w:ilvl w:val="0"/>
          <w:numId w:val="9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Inhibitor discovery:</w:t>
      </w:r>
      <w:r w:rsidRPr="007861F6">
        <w:rPr>
          <w:rFonts w:ascii="Bell MT" w:hAnsi="Bell MT"/>
        </w:rPr>
        <w:t xml:space="preserve"> Test whether the model predicts D254A as having altered inhibitor binding.</w:t>
      </w:r>
    </w:p>
    <w:p w14:paraId="69709409" w14:textId="1E543EF0" w:rsidR="007861F6" w:rsidRPr="007861F6" w:rsidRDefault="007861F6" w:rsidP="007861F6">
      <w:pPr>
        <w:numPr>
          <w:ilvl w:val="0"/>
          <w:numId w:val="9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Physics-based correlation:</w:t>
      </w:r>
      <w:r w:rsidRPr="007861F6">
        <w:rPr>
          <w:rFonts w:ascii="Bell MT" w:hAnsi="Bell MT"/>
        </w:rPr>
        <w:t xml:space="preserve"> High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</w:rPr>
        <w:t>should align with high local Rosetta energy, disrupted H-bond networks, and high HDX-MS flexibility.</w:t>
      </w:r>
    </w:p>
    <w:p w14:paraId="1EEC04E6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V: Drawbacks and Mitigations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4370"/>
        <w:gridCol w:w="1036"/>
        <w:gridCol w:w="4654"/>
      </w:tblGrid>
      <w:tr w:rsidR="007861F6" w:rsidRPr="007861F6" w14:paraId="24801C74" w14:textId="77777777" w:rsidTr="007861F6">
        <w:tc>
          <w:tcPr>
            <w:tcW w:w="0" w:type="auto"/>
            <w:hideMark/>
          </w:tcPr>
          <w:p w14:paraId="5F84A70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Drawback</w:t>
            </w:r>
          </w:p>
        </w:tc>
        <w:tc>
          <w:tcPr>
            <w:tcW w:w="0" w:type="auto"/>
            <w:hideMark/>
          </w:tcPr>
          <w:p w14:paraId="7F0959B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Severity</w:t>
            </w:r>
          </w:p>
        </w:tc>
        <w:tc>
          <w:tcPr>
            <w:tcW w:w="4654" w:type="dxa"/>
            <w:hideMark/>
          </w:tcPr>
          <w:p w14:paraId="24C4947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Mitigation</w:t>
            </w:r>
          </w:p>
        </w:tc>
      </w:tr>
      <w:tr w:rsidR="007861F6" w:rsidRPr="007861F6" w14:paraId="4871F7D5" w14:textId="77777777" w:rsidTr="007861F6">
        <w:tc>
          <w:tcPr>
            <w:tcW w:w="0" w:type="auto"/>
            <w:hideMark/>
          </w:tcPr>
          <w:p w14:paraId="61D060B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lastRenderedPageBreak/>
              <w:t>Surrogate approximation error</w:t>
            </w:r>
          </w:p>
        </w:tc>
        <w:tc>
          <w:tcPr>
            <w:tcW w:w="0" w:type="auto"/>
            <w:hideMark/>
          </w:tcPr>
          <w:p w14:paraId="121B066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High</w:t>
            </w:r>
          </w:p>
        </w:tc>
        <w:tc>
          <w:tcPr>
            <w:tcW w:w="4654" w:type="dxa"/>
            <w:hideMark/>
          </w:tcPr>
          <w:p w14:paraId="31D1608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Quantify spectral norm difference; if large, bound may be vacuous</w:t>
            </w:r>
          </w:p>
        </w:tc>
      </w:tr>
      <w:tr w:rsidR="007861F6" w:rsidRPr="007861F6" w14:paraId="6FAEA474" w14:textId="77777777" w:rsidTr="007861F6">
        <w:tc>
          <w:tcPr>
            <w:tcW w:w="0" w:type="auto"/>
            <w:hideMark/>
          </w:tcPr>
          <w:p w14:paraId="573D94D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Kim-Vu bounds loose (missing log factor, doubly exponential)</w:t>
            </w:r>
          </w:p>
        </w:tc>
        <w:tc>
          <w:tcPr>
            <w:tcW w:w="0" w:type="auto"/>
            <w:hideMark/>
          </w:tcPr>
          <w:p w14:paraId="70833273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High</w:t>
            </w:r>
          </w:p>
        </w:tc>
        <w:tc>
          <w:tcPr>
            <w:tcW w:w="4654" w:type="dxa"/>
            <w:hideMark/>
          </w:tcPr>
          <w:p w14:paraId="743350C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Schudy-Sviridenko where Kim-Vu is weak; benchmark all three bounds</w:t>
            </w:r>
          </w:p>
        </w:tc>
      </w:tr>
      <w:tr w:rsidR="007861F6" w:rsidRPr="007861F6" w14:paraId="23F67619" w14:textId="77777777" w:rsidTr="007861F6">
        <w:tc>
          <w:tcPr>
            <w:tcW w:w="0" w:type="auto"/>
            <w:hideMark/>
          </w:tcPr>
          <w:p w14:paraId="19E7DEF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Polynomial degree blow-up (deep GNNs)</w:t>
            </w:r>
          </w:p>
        </w:tc>
        <w:tc>
          <w:tcPr>
            <w:tcW w:w="0" w:type="auto"/>
            <w:hideMark/>
          </w:tcPr>
          <w:p w14:paraId="6F61881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High</w:t>
            </w:r>
          </w:p>
        </w:tc>
        <w:tc>
          <w:tcPr>
            <w:tcW w:w="4654" w:type="dxa"/>
            <w:hideMark/>
          </w:tcPr>
          <w:p w14:paraId="0BADC1F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shallow GNNs (2–3 layers); Schudy-Sviridenko handles high-degree better</w:t>
            </w:r>
          </w:p>
        </w:tc>
      </w:tr>
      <w:tr w:rsidR="007861F6" w:rsidRPr="007861F6" w14:paraId="60383982" w14:textId="77777777" w:rsidTr="007861F6">
        <w:tc>
          <w:tcPr>
            <w:tcW w:w="0" w:type="auto"/>
            <w:hideMark/>
          </w:tcPr>
          <w:p w14:paraId="411D695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Degree regularity assumption</w:t>
            </w:r>
          </w:p>
        </w:tc>
        <w:tc>
          <w:tcPr>
            <w:tcW w:w="0" w:type="auto"/>
            <w:hideMark/>
          </w:tcPr>
          <w:p w14:paraId="205FC4D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High</w:t>
            </w:r>
          </w:p>
        </w:tc>
        <w:tc>
          <w:tcPr>
            <w:tcW w:w="4654" w:type="dxa"/>
            <w:hideMark/>
          </w:tcPr>
          <w:p w14:paraId="150E49F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near-regular sandwich theorem; if heterogeneous, prefer topology-aware PAC-Bayes</w:t>
            </w:r>
          </w:p>
        </w:tc>
      </w:tr>
      <w:tr w:rsidR="007861F6" w:rsidRPr="007861F6" w14:paraId="78F87FAE" w14:textId="77777777" w:rsidTr="007861F6">
        <w:tc>
          <w:tcPr>
            <w:tcW w:w="0" w:type="auto"/>
            <w:hideMark/>
          </w:tcPr>
          <w:p w14:paraId="6803139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Over-smoothing in GNNs</w:t>
            </w:r>
          </w:p>
        </w:tc>
        <w:tc>
          <w:tcPr>
            <w:tcW w:w="0" w:type="auto"/>
            <w:hideMark/>
          </w:tcPr>
          <w:p w14:paraId="59130F6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Medium</w:t>
            </w:r>
          </w:p>
        </w:tc>
        <w:tc>
          <w:tcPr>
            <w:tcW w:w="4654" w:type="dxa"/>
            <w:hideMark/>
          </w:tcPr>
          <w:p w14:paraId="4B43895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Residual connections provably prevent over-smoothing</w:t>
            </w:r>
          </w:p>
        </w:tc>
      </w:tr>
      <w:tr w:rsidR="007861F6" w:rsidRPr="007861F6" w14:paraId="2D21BCC3" w14:textId="77777777" w:rsidTr="007861F6">
        <w:tc>
          <w:tcPr>
            <w:tcW w:w="0" w:type="auto"/>
            <w:hideMark/>
          </w:tcPr>
          <w:p w14:paraId="7047357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Static structure misses dynamics</w:t>
            </w:r>
          </w:p>
        </w:tc>
        <w:tc>
          <w:tcPr>
            <w:tcW w:w="0" w:type="auto"/>
            <w:hideMark/>
          </w:tcPr>
          <w:p w14:paraId="76D9F40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Medium</w:t>
            </w:r>
          </w:p>
        </w:tc>
        <w:tc>
          <w:tcPr>
            <w:tcW w:w="4654" w:type="dxa"/>
            <w:hideMark/>
          </w:tcPr>
          <w:p w14:paraId="2272E75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Incorporate DCI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w:proofErr w:type="spellStart"/>
                  <m:r>
                    <m:rPr>
                      <m:nor/>
                    </m:rPr>
                    <w:rPr>
                      <w:rFonts w:ascii="Bell MT" w:hAnsi="Bell MT"/>
                    </w:rPr>
                    <m:t>asym</m:t>
                  </m:r>
                  <w:proofErr w:type="spellEnd"/>
                </m:sub>
              </m:sSub>
            </m:oMath>
            <w:r w:rsidRPr="007861F6">
              <w:rPr>
                <w:rFonts w:ascii="Bell MT" w:hAnsi="Bell MT"/>
              </w:rPr>
              <w:t xml:space="preserve"> features and HDX-MS flexibility scores as edge weights</w:t>
            </w:r>
          </w:p>
        </w:tc>
      </w:tr>
      <w:tr w:rsidR="007861F6" w:rsidRPr="007861F6" w14:paraId="2DF743B1" w14:textId="77777777" w:rsidTr="007861F6">
        <w:tc>
          <w:tcPr>
            <w:tcW w:w="0" w:type="auto"/>
            <w:hideMark/>
          </w:tcPr>
          <w:p w14:paraId="02535B9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Experimental noise ceilings</w:t>
            </w:r>
          </w:p>
        </w:tc>
        <w:tc>
          <w:tcPr>
            <w:tcW w:w="0" w:type="auto"/>
            <w:hideMark/>
          </w:tcPr>
          <w:p w14:paraId="52EE302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High</w:t>
            </w:r>
          </w:p>
        </w:tc>
        <w:tc>
          <w:tcPr>
            <w:tcW w:w="4654" w:type="dxa"/>
            <w:hideMark/>
          </w:tcPr>
          <w:p w14:paraId="16BB63F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Estimate noise ceiling; use probabilistic GNN; report relative performance</w:t>
            </w:r>
          </w:p>
        </w:tc>
      </w:tr>
      <w:tr w:rsidR="007861F6" w:rsidRPr="007861F6" w14:paraId="675E4F1D" w14:textId="77777777" w:rsidTr="007861F6">
        <w:tc>
          <w:tcPr>
            <w:tcW w:w="0" w:type="auto"/>
            <w:hideMark/>
          </w:tcPr>
          <w:p w14:paraId="01EC96E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Library bias in DMS</w:t>
            </w:r>
          </w:p>
        </w:tc>
        <w:tc>
          <w:tcPr>
            <w:tcW w:w="0" w:type="auto"/>
            <w:hideMark/>
          </w:tcPr>
          <w:p w14:paraId="6C66A95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Medium</w:t>
            </w:r>
          </w:p>
        </w:tc>
        <w:tc>
          <w:tcPr>
            <w:tcW w:w="4654" w:type="dxa"/>
            <w:hideMark/>
          </w:tcPr>
          <w:p w14:paraId="397C0F2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Bootstrap read sampling; weighted loss functions</w:t>
            </w:r>
          </w:p>
        </w:tc>
      </w:tr>
      <w:tr w:rsidR="007861F6" w:rsidRPr="007861F6" w14:paraId="436D20B5" w14:textId="77777777" w:rsidTr="007861F6">
        <w:tc>
          <w:tcPr>
            <w:tcW w:w="0" w:type="auto"/>
            <w:hideMark/>
          </w:tcPr>
          <w:p w14:paraId="280E06B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Label imbalance</w:t>
            </w:r>
          </w:p>
        </w:tc>
        <w:tc>
          <w:tcPr>
            <w:tcW w:w="0" w:type="auto"/>
            <w:hideMark/>
          </w:tcPr>
          <w:p w14:paraId="3D248BF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Medium</w:t>
            </w:r>
          </w:p>
        </w:tc>
        <w:tc>
          <w:tcPr>
            <w:tcW w:w="4654" w:type="dxa"/>
            <w:hideMark/>
          </w:tcPr>
          <w:p w14:paraId="3E1B969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Focal loss; Spearman correlation evaluation</w:t>
            </w:r>
          </w:p>
        </w:tc>
      </w:tr>
      <w:tr w:rsidR="007861F6" w:rsidRPr="007861F6" w14:paraId="771C350F" w14:textId="77777777" w:rsidTr="007861F6">
        <w:tc>
          <w:tcPr>
            <w:tcW w:w="0" w:type="auto"/>
            <w:hideMark/>
          </w:tcPr>
          <w:p w14:paraId="4C8C914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Random-split overestimation</w:t>
            </w:r>
          </w:p>
        </w:tc>
        <w:tc>
          <w:tcPr>
            <w:tcW w:w="0" w:type="auto"/>
            <w:hideMark/>
          </w:tcPr>
          <w:p w14:paraId="47AE1C3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High</w:t>
            </w:r>
          </w:p>
        </w:tc>
        <w:tc>
          <w:tcPr>
            <w:tcW w:w="4654" w:type="dxa"/>
            <w:hideMark/>
          </w:tcPr>
          <w:p w14:paraId="7D7E735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Position-disjoint evaluation is mandatory</w:t>
            </w:r>
          </w:p>
        </w:tc>
      </w:tr>
      <w:tr w:rsidR="007861F6" w:rsidRPr="007861F6" w14:paraId="0EA56E82" w14:textId="77777777" w:rsidTr="007861F6">
        <w:tc>
          <w:tcPr>
            <w:tcW w:w="0" w:type="auto"/>
            <w:hideMark/>
          </w:tcPr>
          <w:p w14:paraId="102C79E9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Computational cost of bounds</w:t>
            </w:r>
          </w:p>
        </w:tc>
        <w:tc>
          <w:tcPr>
            <w:tcW w:w="0" w:type="auto"/>
            <w:hideMark/>
          </w:tcPr>
          <w:p w14:paraId="154DA40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Medium</w:t>
            </w:r>
          </w:p>
        </w:tc>
        <w:tc>
          <w:tcPr>
            <w:tcW w:w="4654" w:type="dxa"/>
            <w:hideMark/>
          </w:tcPr>
          <w:p w14:paraId="5E9B80B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Multiscale Schake architecture</w:t>
            </w:r>
          </w:p>
        </w:tc>
      </w:tr>
    </w:tbl>
    <w:p w14:paraId="7B8D2107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VI: Publication Strategy</w:t>
      </w:r>
    </w:p>
    <w:p w14:paraId="70390566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6.1 Target Journals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4569"/>
        <w:gridCol w:w="1477"/>
        <w:gridCol w:w="4014"/>
      </w:tblGrid>
      <w:tr w:rsidR="007861F6" w:rsidRPr="007861F6" w14:paraId="22530B53" w14:textId="77777777" w:rsidTr="007861F6">
        <w:tc>
          <w:tcPr>
            <w:tcW w:w="0" w:type="auto"/>
            <w:hideMark/>
          </w:tcPr>
          <w:p w14:paraId="5690FDA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Journal</w:t>
            </w:r>
          </w:p>
        </w:tc>
        <w:tc>
          <w:tcPr>
            <w:tcW w:w="0" w:type="auto"/>
            <w:hideMark/>
          </w:tcPr>
          <w:p w14:paraId="135F192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Impact Factor</w:t>
            </w:r>
          </w:p>
        </w:tc>
        <w:tc>
          <w:tcPr>
            <w:tcW w:w="4014" w:type="dxa"/>
            <w:hideMark/>
          </w:tcPr>
          <w:p w14:paraId="4253C25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Fit</w:t>
            </w:r>
          </w:p>
        </w:tc>
      </w:tr>
      <w:tr w:rsidR="007861F6" w:rsidRPr="007861F6" w14:paraId="67A26A59" w14:textId="77777777" w:rsidTr="007861F6">
        <w:tc>
          <w:tcPr>
            <w:tcW w:w="0" w:type="auto"/>
            <w:hideMark/>
          </w:tcPr>
          <w:p w14:paraId="66E63DD3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Nature Machine Intelligence</w:t>
            </w:r>
          </w:p>
        </w:tc>
        <w:tc>
          <w:tcPr>
            <w:tcW w:w="0" w:type="auto"/>
            <w:hideMark/>
          </w:tcPr>
          <w:p w14:paraId="29DEBD3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~25.9</w:t>
            </w:r>
          </w:p>
        </w:tc>
        <w:tc>
          <w:tcPr>
            <w:tcW w:w="4014" w:type="dxa"/>
            <w:hideMark/>
          </w:tcPr>
          <w:p w14:paraId="610DC09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Premier venue for provable ML with biological applications</w:t>
            </w:r>
          </w:p>
        </w:tc>
      </w:tr>
      <w:tr w:rsidR="007861F6" w:rsidRPr="007861F6" w14:paraId="583AE6B3" w14:textId="77777777" w:rsidTr="007861F6">
        <w:tc>
          <w:tcPr>
            <w:tcW w:w="0" w:type="auto"/>
            <w:hideMark/>
          </w:tcPr>
          <w:p w14:paraId="5CD6BE1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Nature Communications</w:t>
            </w:r>
          </w:p>
        </w:tc>
        <w:tc>
          <w:tcPr>
            <w:tcW w:w="0" w:type="auto"/>
            <w:hideMark/>
          </w:tcPr>
          <w:p w14:paraId="35471F1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~15.7</w:t>
            </w:r>
          </w:p>
        </w:tc>
        <w:tc>
          <w:tcPr>
            <w:tcW w:w="4014" w:type="dxa"/>
            <w:hideMark/>
          </w:tcPr>
          <w:p w14:paraId="0480B20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Publishes NDM-1 DMS studies</w:t>
            </w:r>
          </w:p>
        </w:tc>
      </w:tr>
      <w:tr w:rsidR="007861F6" w:rsidRPr="007861F6" w14:paraId="7944C5C9" w14:textId="77777777" w:rsidTr="007861F6">
        <w:tc>
          <w:tcPr>
            <w:tcW w:w="0" w:type="auto"/>
            <w:hideMark/>
          </w:tcPr>
          <w:p w14:paraId="66B13C4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 xml:space="preserve">Journal of Chemical Information and </w:t>
            </w:r>
            <w:proofErr w:type="spellStart"/>
            <w:r w:rsidRPr="007861F6">
              <w:rPr>
                <w:rFonts w:ascii="Bell MT" w:hAnsi="Bell MT"/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3862C5D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~5.6</w:t>
            </w:r>
          </w:p>
        </w:tc>
        <w:tc>
          <w:tcPr>
            <w:tcW w:w="4014" w:type="dxa"/>
            <w:hideMark/>
          </w:tcPr>
          <w:p w14:paraId="404D871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ML in drug discovery</w:t>
            </w:r>
          </w:p>
        </w:tc>
      </w:tr>
      <w:tr w:rsidR="007861F6" w:rsidRPr="007861F6" w14:paraId="635B2CEF" w14:textId="77777777" w:rsidTr="007861F6">
        <w:tc>
          <w:tcPr>
            <w:tcW w:w="0" w:type="auto"/>
            <w:hideMark/>
          </w:tcPr>
          <w:p w14:paraId="5E64ABF3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Bioinformatics</w:t>
            </w:r>
          </w:p>
        </w:tc>
        <w:tc>
          <w:tcPr>
            <w:tcW w:w="0" w:type="auto"/>
            <w:hideMark/>
          </w:tcPr>
          <w:p w14:paraId="572573E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~5.8</w:t>
            </w:r>
          </w:p>
        </w:tc>
        <w:tc>
          <w:tcPr>
            <w:tcW w:w="4014" w:type="dxa"/>
            <w:hideMark/>
          </w:tcPr>
          <w:p w14:paraId="52DC2A9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Computational biology methods</w:t>
            </w:r>
          </w:p>
        </w:tc>
      </w:tr>
    </w:tbl>
    <w:p w14:paraId="3BD7C89B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6.2 Manuscript Structure</w:t>
      </w:r>
    </w:p>
    <w:p w14:paraId="6037BED8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Title:</w:t>
      </w:r>
      <w:r w:rsidRPr="007861F6">
        <w:rPr>
          <w:rFonts w:ascii="Bell MT" w:hAnsi="Bell MT"/>
        </w:rPr>
        <w:t xml:space="preserve"> </w:t>
      </w:r>
      <w:r w:rsidRPr="007861F6">
        <w:rPr>
          <w:rFonts w:ascii="Bell MT" w:hAnsi="Bell MT"/>
          <w:i/>
          <w:iCs/>
        </w:rPr>
        <w:t>“Provable Generalization Bounds for Graph Neural Networks on Protein Graphs via the Kim-Vu Sandwich Theorem: A Certified Approach to NDM-1 Mutation Effect Prediction”</w:t>
      </w:r>
    </w:p>
    <w:p w14:paraId="55A14AD2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lastRenderedPageBreak/>
        <w:t>Abstract:</w:t>
      </w:r>
      <w:r w:rsidRPr="007861F6">
        <w:rPr>
          <w:rFonts w:ascii="Bell MT" w:hAnsi="Bell MT"/>
        </w:rPr>
        <w:t xml:space="preserve"> State the problem (unaccountable AI for NDM-1), the two-step theoretical innovation (sandwich theorem for dependence + concentration inequality for tightness), the results (non-vacuous bounds under position-disjoint evaluation), and the impact (trustworthy AI for antibiotic resistance).</w:t>
      </w:r>
    </w:p>
    <w:p w14:paraId="27C038C7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Introduction:</w:t>
      </w:r>
      <w:r w:rsidRPr="007861F6">
        <w:rPr>
          <w:rFonts w:ascii="Bell MT" w:hAnsi="Bell MT"/>
        </w:rPr>
        <w:t xml:space="preserve"> Frame NDM-1 as a global crisis (460% increase in NDM-producing infections 2019–2023; 69+ variants identified). Highlight the critical gap: </w:t>
      </w:r>
      <w:proofErr w:type="gramStart"/>
      <w:r w:rsidRPr="007861F6">
        <w:rPr>
          <w:rFonts w:ascii="Bell MT" w:hAnsi="Bell MT"/>
          <w:b/>
          <w:bCs/>
        </w:rPr>
        <w:t>no</w:t>
      </w:r>
      <w:proofErr w:type="gramEnd"/>
      <w:r w:rsidRPr="007861F6">
        <w:rPr>
          <w:rFonts w:ascii="Bell MT" w:hAnsi="Bell MT"/>
          <w:b/>
          <w:bCs/>
        </w:rPr>
        <w:t xml:space="preserve"> mathematically guaranteed AI models</w:t>
      </w:r>
      <w:r w:rsidRPr="007861F6">
        <w:rPr>
          <w:rFonts w:ascii="Bell MT" w:hAnsi="Bell MT"/>
        </w:rPr>
        <w:t xml:space="preserve"> exist for predicting mutation effects. Cite the black-box opacity barrier.</w:t>
      </w:r>
    </w:p>
    <w:p w14:paraId="144EDFA5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Results:</w:t>
      </w:r>
    </w:p>
    <w:p w14:paraId="30E67D02" w14:textId="77777777" w:rsidR="007861F6" w:rsidRPr="007861F6" w:rsidRDefault="007861F6" w:rsidP="007861F6">
      <w:pPr>
        <w:numPr>
          <w:ilvl w:val="1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Theoretical Derivation:</w:t>
      </w:r>
      <w:r w:rsidRPr="007861F6">
        <w:rPr>
          <w:rFonts w:ascii="Bell MT" w:hAnsi="Bell MT"/>
        </w:rPr>
        <w:t xml:space="preserve"> Sandwich theorem </w:t>
      </w:r>
      <w:r w:rsidRPr="007861F6">
        <w:rPr>
          <w:rFonts w:ascii="Times New Roman" w:hAnsi="Times New Roman" w:cs="Times New Roman"/>
        </w:rPr>
        <w:t>→</w:t>
      </w:r>
      <w:r w:rsidRPr="007861F6">
        <w:rPr>
          <w:rFonts w:ascii="Bell MT" w:hAnsi="Bell MT"/>
        </w:rPr>
        <w:t xml:space="preserve"> three concentration inequalities </w:t>
      </w:r>
      <w:r w:rsidRPr="007861F6">
        <w:rPr>
          <w:rFonts w:ascii="Times New Roman" w:hAnsi="Times New Roman" w:cs="Times New Roman"/>
        </w:rPr>
        <w:t>→</w:t>
      </w:r>
      <w:r w:rsidRPr="007861F6">
        <w:rPr>
          <w:rFonts w:ascii="Bell MT" w:hAnsi="Bell MT"/>
        </w:rPr>
        <w:t xml:space="preserve"> topology-aware PAC-Bayes bound.</w:t>
      </w:r>
    </w:p>
    <w:p w14:paraId="155674D2" w14:textId="77777777" w:rsidR="007861F6" w:rsidRPr="007861F6" w:rsidRDefault="007861F6" w:rsidP="007861F6">
      <w:pPr>
        <w:numPr>
          <w:ilvl w:val="1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Bound Comparison:</w:t>
      </w:r>
      <w:r w:rsidRPr="007861F6">
        <w:rPr>
          <w:rFonts w:ascii="Bell MT" w:hAnsi="Bell MT"/>
        </w:rPr>
        <w:t xml:space="preserve"> Show all three bounds on NDM-1 data. Demonstrate Schudy-Sviridenko is non-vacuous where Kim-Vu is not.</w:t>
      </w:r>
    </w:p>
    <w:p w14:paraId="30CC4D85" w14:textId="77777777" w:rsidR="007861F6" w:rsidRPr="007861F6" w:rsidRDefault="007861F6" w:rsidP="007861F6">
      <w:pPr>
        <w:numPr>
          <w:ilvl w:val="1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Architecture Design:</w:t>
      </w:r>
      <w:r w:rsidRPr="007861F6">
        <w:rPr>
          <w:rFonts w:ascii="Bell MT" w:hAnsi="Bell MT"/>
        </w:rPr>
        <w:t xml:space="preserve"> Dynamics-aware GNN outperforms standard baselines under position-disjoint evaluation.</w:t>
      </w:r>
    </w:p>
    <w:p w14:paraId="28C6A7C2" w14:textId="77777777" w:rsidR="007861F6" w:rsidRPr="007861F6" w:rsidRDefault="007861F6" w:rsidP="007861F6">
      <w:pPr>
        <w:numPr>
          <w:ilvl w:val="1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Biological Validation:</w:t>
      </w:r>
      <w:r w:rsidRPr="007861F6">
        <w:rPr>
          <w:rFonts w:ascii="Bell MT" w:hAnsi="Bell MT"/>
        </w:rPr>
        <w:t xml:space="preserve"> Alignment with BLDB variants, M154L HDX-MS findings, and D254A inhibitor data.</w:t>
      </w:r>
    </w:p>
    <w:p w14:paraId="681E790B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Discussion:</w:t>
      </w:r>
      <w:r w:rsidRPr="007861F6">
        <w:rPr>
          <w:rFonts w:ascii="Bell MT" w:hAnsi="Bell MT"/>
        </w:rPr>
        <w:t xml:space="preserve"> Emphasize the </w:t>
      </w:r>
      <w:r w:rsidRPr="007861F6">
        <w:rPr>
          <w:rFonts w:ascii="Bell MT" w:hAnsi="Bell MT"/>
          <w:b/>
          <w:bCs/>
        </w:rPr>
        <w:t>paradigm shift</w:t>
      </w:r>
      <w:r w:rsidRPr="007861F6">
        <w:rPr>
          <w:rFonts w:ascii="Bell MT" w:hAnsi="Bell MT"/>
        </w:rPr>
        <w:t xml:space="preserve"> from empirical to provable AI. Address the black-box opacity barrier directly. Discuss applicability to other antibiotic resistance enzymes.</w:t>
      </w:r>
    </w:p>
    <w:p w14:paraId="74168458" w14:textId="77777777" w:rsidR="007861F6" w:rsidRPr="007861F6" w:rsidRDefault="007861F6" w:rsidP="007861F6">
      <w:pPr>
        <w:numPr>
          <w:ilvl w:val="0"/>
          <w:numId w:val="10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Methods:</w:t>
      </w:r>
      <w:r w:rsidRPr="007861F6">
        <w:rPr>
          <w:rFonts w:ascii="Bell MT" w:hAnsi="Bell MT"/>
        </w:rPr>
        <w:t xml:space="preserve"> Full mathematical details. Leading statements for each method section. Complete evaluation protocols.</w:t>
      </w:r>
    </w:p>
    <w:p w14:paraId="1EE00CA5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6.3 Key Selling Points</w:t>
      </w:r>
    </w:p>
    <w:p w14:paraId="1451E658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First application</w:t>
      </w:r>
      <w:r w:rsidRPr="007861F6">
        <w:rPr>
          <w:rFonts w:ascii="Bell MT" w:hAnsi="Bell MT"/>
        </w:rPr>
        <w:t xml:space="preserve"> of the Kim-Vu sandwich theorem to GNN generalization in biology (via near-regular surrogate).</w:t>
      </w:r>
    </w:p>
    <w:p w14:paraId="24FE6DA0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Three-bound comparison</w:t>
      </w:r>
      <w:r w:rsidRPr="007861F6">
        <w:rPr>
          <w:rFonts w:ascii="Bell MT" w:hAnsi="Bell MT"/>
        </w:rPr>
        <w:t xml:space="preserve"> demonstrates the bound is non-vacuous.</w:t>
      </w:r>
    </w:p>
    <w:p w14:paraId="4FC05AAE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Dynamics-aware architecture</w:t>
      </w:r>
      <w:r w:rsidRPr="007861F6">
        <w:rPr>
          <w:rFonts w:ascii="Bell MT" w:hAnsi="Bell MT"/>
        </w:rPr>
        <w:t xml:space="preserve"> captures long-range epistasis.</w:t>
      </w:r>
    </w:p>
    <w:p w14:paraId="2163B0F6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Clinical relevance</w:t>
      </w:r>
      <w:r w:rsidRPr="007861F6">
        <w:rPr>
          <w:rFonts w:ascii="Bell MT" w:hAnsi="Bell MT"/>
        </w:rPr>
        <w:t xml:space="preserve"> validated against 69 NDM variants and HDX-MS data.</w:t>
      </w:r>
    </w:p>
    <w:p w14:paraId="0888887D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Leakage-aware evaluation</w:t>
      </w:r>
      <w:r w:rsidRPr="007861F6">
        <w:rPr>
          <w:rFonts w:ascii="Bell MT" w:hAnsi="Bell MT"/>
        </w:rPr>
        <w:t xml:space="preserve"> using position-disjoint splits.</w:t>
      </w:r>
    </w:p>
    <w:p w14:paraId="78E8E2F2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Honest reporting</w:t>
      </w:r>
      <w:r w:rsidRPr="007861F6">
        <w:rPr>
          <w:rFonts w:ascii="Bell MT" w:hAnsi="Bell MT"/>
        </w:rPr>
        <w:t xml:space="preserve"> of the surrogate approximation error.</w:t>
      </w:r>
    </w:p>
    <w:p w14:paraId="19575F51" w14:textId="77777777" w:rsidR="007861F6" w:rsidRPr="007861F6" w:rsidRDefault="007861F6" w:rsidP="007861F6">
      <w:pPr>
        <w:numPr>
          <w:ilvl w:val="0"/>
          <w:numId w:val="11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Addresses black-box opacity</w:t>
      </w:r>
      <w:r w:rsidRPr="007861F6">
        <w:rPr>
          <w:rFonts w:ascii="Bell MT" w:hAnsi="Bell MT"/>
        </w:rPr>
        <w:t xml:space="preserve"> — the bound depends on identifiable graph parameters.</w:t>
      </w:r>
    </w:p>
    <w:p w14:paraId="47F07493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6.4 Pre-submission Strategy</w:t>
      </w:r>
    </w:p>
    <w:p w14:paraId="6EB5168C" w14:textId="77777777" w:rsidR="007861F6" w:rsidRPr="007861F6" w:rsidRDefault="007861F6" w:rsidP="007861F6">
      <w:pPr>
        <w:numPr>
          <w:ilvl w:val="0"/>
          <w:numId w:val="1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Preprint:</w:t>
      </w:r>
      <w:r w:rsidRPr="007861F6">
        <w:rPr>
          <w:rFonts w:ascii="Bell MT" w:hAnsi="Bell MT"/>
        </w:rPr>
        <w:t xml:space="preserve"> Post on bioRxiv or </w:t>
      </w:r>
      <w:proofErr w:type="spellStart"/>
      <w:r w:rsidRPr="007861F6">
        <w:rPr>
          <w:rFonts w:ascii="Bell MT" w:hAnsi="Bell MT"/>
        </w:rPr>
        <w:t>arXiv</w:t>
      </w:r>
      <w:proofErr w:type="spellEnd"/>
      <w:r w:rsidRPr="007861F6">
        <w:rPr>
          <w:rFonts w:ascii="Bell MT" w:hAnsi="Bell MT"/>
        </w:rPr>
        <w:t>.</w:t>
      </w:r>
    </w:p>
    <w:p w14:paraId="342EEF52" w14:textId="77777777" w:rsidR="007861F6" w:rsidRPr="007861F6" w:rsidRDefault="007861F6" w:rsidP="007861F6">
      <w:pPr>
        <w:numPr>
          <w:ilvl w:val="0"/>
          <w:numId w:val="1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Conference:</w:t>
      </w:r>
      <w:r w:rsidRPr="007861F6">
        <w:rPr>
          <w:rFonts w:ascii="Bell MT" w:hAnsi="Bell MT"/>
        </w:rPr>
        <w:t xml:space="preserve"> Present at </w:t>
      </w:r>
      <w:proofErr w:type="spellStart"/>
      <w:r w:rsidRPr="007861F6">
        <w:rPr>
          <w:rFonts w:ascii="Bell MT" w:hAnsi="Bell MT"/>
        </w:rPr>
        <w:t>NeurIPS</w:t>
      </w:r>
      <w:proofErr w:type="spellEnd"/>
      <w:r w:rsidRPr="007861F6">
        <w:rPr>
          <w:rFonts w:ascii="Bell MT" w:hAnsi="Bell MT"/>
        </w:rPr>
        <w:t xml:space="preserve"> (ML for Structural Biology Workshop) or ICLR.</w:t>
      </w:r>
    </w:p>
    <w:p w14:paraId="079FFD60" w14:textId="77777777" w:rsidR="007861F6" w:rsidRPr="007861F6" w:rsidRDefault="007861F6" w:rsidP="007861F6">
      <w:pPr>
        <w:numPr>
          <w:ilvl w:val="0"/>
          <w:numId w:val="12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lastRenderedPageBreak/>
        <w:t>Two-paper option:</w:t>
      </w:r>
      <w:r w:rsidRPr="007861F6">
        <w:rPr>
          <w:rFonts w:ascii="Bell MT" w:hAnsi="Bell MT"/>
        </w:rPr>
        <w:t xml:space="preserve"> A theoretical paper (ICLR/</w:t>
      </w:r>
      <w:proofErr w:type="spellStart"/>
      <w:r w:rsidRPr="007861F6">
        <w:rPr>
          <w:rFonts w:ascii="Bell MT" w:hAnsi="Bell MT"/>
        </w:rPr>
        <w:t>NeurIPS</w:t>
      </w:r>
      <w:proofErr w:type="spellEnd"/>
      <w:r w:rsidRPr="007861F6">
        <w:rPr>
          <w:rFonts w:ascii="Bell MT" w:hAnsi="Bell MT"/>
        </w:rPr>
        <w:t>) and an application paper (Nature Communications/JCIM).</w:t>
      </w:r>
    </w:p>
    <w:p w14:paraId="1FC80486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VII: Summary of Data Requirements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9"/>
        <w:gridCol w:w="3200"/>
        <w:gridCol w:w="1614"/>
        <w:gridCol w:w="2285"/>
      </w:tblGrid>
      <w:tr w:rsidR="007861F6" w:rsidRPr="007861F6" w14:paraId="15C85BBE" w14:textId="77777777" w:rsidTr="007861F6">
        <w:tc>
          <w:tcPr>
            <w:tcW w:w="0" w:type="auto"/>
            <w:hideMark/>
          </w:tcPr>
          <w:p w14:paraId="5762487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Data Type</w:t>
            </w:r>
          </w:p>
        </w:tc>
        <w:tc>
          <w:tcPr>
            <w:tcW w:w="0" w:type="auto"/>
            <w:hideMark/>
          </w:tcPr>
          <w:p w14:paraId="708206F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Source</w:t>
            </w:r>
          </w:p>
        </w:tc>
        <w:tc>
          <w:tcPr>
            <w:tcW w:w="0" w:type="auto"/>
            <w:hideMark/>
          </w:tcPr>
          <w:p w14:paraId="47532659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Quantity</w:t>
            </w:r>
          </w:p>
        </w:tc>
        <w:tc>
          <w:tcPr>
            <w:tcW w:w="0" w:type="auto"/>
            <w:hideMark/>
          </w:tcPr>
          <w:p w14:paraId="5BF309B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Purpose</w:t>
            </w:r>
          </w:p>
        </w:tc>
      </w:tr>
      <w:tr w:rsidR="007861F6" w:rsidRPr="007861F6" w14:paraId="3C694968" w14:textId="77777777" w:rsidTr="007861F6">
        <w:tc>
          <w:tcPr>
            <w:tcW w:w="0" w:type="auto"/>
            <w:hideMark/>
          </w:tcPr>
          <w:p w14:paraId="42744C9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NDM-1 DMS fitness scores</w:t>
            </w:r>
          </w:p>
        </w:tc>
        <w:tc>
          <w:tcPr>
            <w:tcW w:w="0" w:type="auto"/>
            <w:hideMark/>
          </w:tcPr>
          <w:p w14:paraId="02AAD1B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Supplementary Data 3, Chen et al. (2024)</w:t>
            </w:r>
          </w:p>
        </w:tc>
        <w:tc>
          <w:tcPr>
            <w:tcW w:w="0" w:type="auto"/>
            <w:hideMark/>
          </w:tcPr>
          <w:p w14:paraId="6E3B137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~5,057 mutations</w:t>
            </w:r>
          </w:p>
        </w:tc>
        <w:tc>
          <w:tcPr>
            <w:tcW w:w="0" w:type="auto"/>
            <w:hideMark/>
          </w:tcPr>
          <w:p w14:paraId="6B65D35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Training/testing</w:t>
            </w:r>
          </w:p>
        </w:tc>
      </w:tr>
      <w:tr w:rsidR="007861F6" w:rsidRPr="007861F6" w14:paraId="641ED51F" w14:textId="77777777" w:rsidTr="007861F6">
        <w:tc>
          <w:tcPr>
            <w:tcW w:w="0" w:type="auto"/>
            <w:hideMark/>
          </w:tcPr>
          <w:p w14:paraId="2E31F96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NDM-1 crystal structure</w:t>
            </w:r>
          </w:p>
        </w:tc>
        <w:tc>
          <w:tcPr>
            <w:tcW w:w="0" w:type="auto"/>
            <w:hideMark/>
          </w:tcPr>
          <w:p w14:paraId="4E3A412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PDB: 3SPU or 5ZGY</w:t>
            </w:r>
          </w:p>
        </w:tc>
        <w:tc>
          <w:tcPr>
            <w:tcW w:w="0" w:type="auto"/>
            <w:hideMark/>
          </w:tcPr>
          <w:p w14:paraId="2BE279B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1 structure</w:t>
            </w:r>
          </w:p>
        </w:tc>
        <w:tc>
          <w:tcPr>
            <w:tcW w:w="0" w:type="auto"/>
            <w:hideMark/>
          </w:tcPr>
          <w:p w14:paraId="2A6447A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Graph construction</w:t>
            </w:r>
          </w:p>
        </w:tc>
      </w:tr>
      <w:tr w:rsidR="007861F6" w:rsidRPr="007861F6" w14:paraId="3DC94CBD" w14:textId="77777777" w:rsidTr="007861F6">
        <w:tc>
          <w:tcPr>
            <w:tcW w:w="0" w:type="auto"/>
            <w:hideMark/>
          </w:tcPr>
          <w:p w14:paraId="0DE2EA3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 variant database</w:t>
            </w:r>
          </w:p>
        </w:tc>
        <w:tc>
          <w:tcPr>
            <w:tcW w:w="0" w:type="auto"/>
            <w:hideMark/>
          </w:tcPr>
          <w:p w14:paraId="554025A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Zenodo (Schwarte &amp; Fromm, 2025)</w:t>
            </w:r>
          </w:p>
        </w:tc>
        <w:tc>
          <w:tcPr>
            <w:tcW w:w="0" w:type="auto"/>
            <w:hideMark/>
          </w:tcPr>
          <w:p w14:paraId="18F18A8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NDM1–NDM58</w:t>
            </w:r>
          </w:p>
        </w:tc>
        <w:tc>
          <w:tcPr>
            <w:tcW w:w="0" w:type="auto"/>
            <w:hideMark/>
          </w:tcPr>
          <w:p w14:paraId="055C377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Clinical validation</w:t>
            </w:r>
          </w:p>
        </w:tc>
      </w:tr>
      <w:tr w:rsidR="007861F6" w:rsidRPr="007861F6" w14:paraId="127C058E" w14:textId="77777777" w:rsidTr="007861F6">
        <w:tc>
          <w:tcPr>
            <w:tcW w:w="0" w:type="auto"/>
            <w:hideMark/>
          </w:tcPr>
          <w:p w14:paraId="6E91CD7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StructureDCA predictions</w:t>
            </w:r>
          </w:p>
        </w:tc>
        <w:tc>
          <w:tcPr>
            <w:tcW w:w="0" w:type="auto"/>
            <w:hideMark/>
          </w:tcPr>
          <w:p w14:paraId="6A835FA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Zenodo (</w:t>
            </w:r>
            <w:proofErr w:type="spellStart"/>
            <w:r w:rsidRPr="007861F6">
              <w:rPr>
                <w:rFonts w:ascii="Bell MT" w:hAnsi="Bell MT"/>
              </w:rPr>
              <w:t>Tsishyn</w:t>
            </w:r>
            <w:proofErr w:type="spellEnd"/>
            <w:r w:rsidRPr="007861F6">
              <w:rPr>
                <w:rFonts w:ascii="Bell MT" w:hAnsi="Bell MT"/>
              </w:rPr>
              <w:t xml:space="preserve"> et al., 2026)</w:t>
            </w:r>
          </w:p>
        </w:tc>
        <w:tc>
          <w:tcPr>
            <w:tcW w:w="0" w:type="auto"/>
            <w:hideMark/>
          </w:tcPr>
          <w:p w14:paraId="4CF8C62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NDM-1, VIM-2</w:t>
            </w:r>
          </w:p>
        </w:tc>
        <w:tc>
          <w:tcPr>
            <w:tcW w:w="0" w:type="auto"/>
            <w:hideMark/>
          </w:tcPr>
          <w:p w14:paraId="7ED6D37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External validation</w:t>
            </w:r>
          </w:p>
        </w:tc>
      </w:tr>
      <w:tr w:rsidR="007861F6" w:rsidRPr="007861F6" w14:paraId="7D24CA11" w14:textId="77777777" w:rsidTr="007861F6">
        <w:tc>
          <w:tcPr>
            <w:tcW w:w="0" w:type="auto"/>
            <w:hideMark/>
          </w:tcPr>
          <w:p w14:paraId="3AEDD36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HDX-MS conformational data</w:t>
            </w:r>
          </w:p>
        </w:tc>
        <w:tc>
          <w:tcPr>
            <w:tcW w:w="0" w:type="auto"/>
            <w:hideMark/>
          </w:tcPr>
          <w:p w14:paraId="50D406C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NIAID/</w:t>
            </w:r>
            <w:proofErr w:type="spellStart"/>
            <w:r w:rsidRPr="007861F6">
              <w:rPr>
                <w:rFonts w:ascii="Bell MT" w:hAnsi="Bell MT"/>
              </w:rPr>
              <w:t>Figshare</w:t>
            </w:r>
            <w:proofErr w:type="spellEnd"/>
            <w:r w:rsidRPr="007861F6">
              <w:rPr>
                <w:rFonts w:ascii="Bell MT" w:hAnsi="Bell MT"/>
              </w:rPr>
              <w:t xml:space="preserve"> (Huang et al., 2025)</w:t>
            </w:r>
          </w:p>
        </w:tc>
        <w:tc>
          <w:tcPr>
            <w:tcW w:w="0" w:type="auto"/>
            <w:hideMark/>
          </w:tcPr>
          <w:p w14:paraId="71161EB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 variants</w:t>
            </w:r>
          </w:p>
        </w:tc>
        <w:tc>
          <w:tcPr>
            <w:tcW w:w="0" w:type="auto"/>
            <w:hideMark/>
          </w:tcPr>
          <w:p w14:paraId="78A56BC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Dynamic features</w:t>
            </w:r>
          </w:p>
        </w:tc>
      </w:tr>
      <w:tr w:rsidR="007861F6" w:rsidRPr="007861F6" w14:paraId="5AF26C76" w14:textId="77777777" w:rsidTr="007861F6">
        <w:tc>
          <w:tcPr>
            <w:tcW w:w="0" w:type="auto"/>
            <w:hideMark/>
          </w:tcPr>
          <w:p w14:paraId="0768FC7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VIM-2 DMS data</w:t>
            </w:r>
          </w:p>
        </w:tc>
        <w:tc>
          <w:tcPr>
            <w:tcW w:w="0" w:type="auto"/>
            <w:hideMark/>
          </w:tcPr>
          <w:p w14:paraId="61AA38A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Chen et al. (2024)</w:t>
            </w:r>
          </w:p>
        </w:tc>
        <w:tc>
          <w:tcPr>
            <w:tcW w:w="0" w:type="auto"/>
            <w:hideMark/>
          </w:tcPr>
          <w:p w14:paraId="5A4CF759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~5,016 mutations</w:t>
            </w:r>
          </w:p>
        </w:tc>
        <w:tc>
          <w:tcPr>
            <w:tcW w:w="0" w:type="auto"/>
            <w:hideMark/>
          </w:tcPr>
          <w:p w14:paraId="55B9FB8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Cross-protein validation</w:t>
            </w:r>
          </w:p>
        </w:tc>
      </w:tr>
    </w:tbl>
    <w:p w14:paraId="2137DA96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Conclusion:</w:t>
      </w:r>
      <w:r w:rsidRPr="007861F6">
        <w:rPr>
          <w:rFonts w:ascii="Bell MT" w:hAnsi="Bell MT"/>
        </w:rPr>
        <w:t xml:space="preserve"> ~5,000 </w:t>
      </w:r>
      <w:proofErr w:type="spellStart"/>
      <w:r w:rsidRPr="007861F6">
        <w:rPr>
          <w:rFonts w:ascii="Bell MT" w:hAnsi="Bell MT"/>
        </w:rPr>
        <w:t>labeled</w:t>
      </w:r>
      <w:proofErr w:type="spellEnd"/>
      <w:r w:rsidRPr="007861F6">
        <w:rPr>
          <w:rFonts w:ascii="Bell MT" w:hAnsi="Bell MT"/>
        </w:rPr>
        <w:t xml:space="preserve"> examples (from DMS) plus one high-resolution structure. This is data-efficient and widely applicable.</w:t>
      </w:r>
    </w:p>
    <w:p w14:paraId="76C97FA9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VIII: Remaining Open Points to Verify Empirically</w:t>
      </w:r>
    </w:p>
    <w:p w14:paraId="2B336810" w14:textId="0D9D5902" w:rsidR="007861F6" w:rsidRPr="007861F6" w:rsidRDefault="007861F6" w:rsidP="007861F6">
      <w:pPr>
        <w:numPr>
          <w:ilvl w:val="0"/>
          <w:numId w:val="1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 xml:space="preserve">Exact value of the constant </w:t>
      </w:r>
      <m:oMath>
        <m:r>
          <w:rPr>
            <w:rFonts w:ascii="Cambria Math" w:hAnsi="Cambria Math"/>
          </w:rPr>
          <m:t>C</m:t>
        </m:r>
      </m:oMath>
      <w:r w:rsidRPr="007861F6">
        <w:rPr>
          <w:rFonts w:ascii="Bell MT" w:hAnsi="Bell MT"/>
        </w:rPr>
        <w:t xml:space="preserve">in the 2025 theorem and whether </w:t>
      </w:r>
      <m:oMath>
        <m:r>
          <w:rPr>
            <w:rFonts w:ascii="Cambria Math" w:hAnsi="Cambria Math"/>
          </w:rPr>
          <m:t>d≈6</m:t>
        </m:r>
        <m:r>
          <m:rPr>
            <m:nor/>
          </m:rPr>
          <w:rPr>
            <w:rFonts w:ascii="Bell MT" w:hAnsi="Bell MT"/>
          </w:rPr>
          <m:t>–</m:t>
        </m:r>
        <m:r>
          <w:rPr>
            <w:rFonts w:ascii="Cambria Math" w:hAnsi="Cambria Math"/>
          </w:rPr>
          <m:t>12</m:t>
        </m:r>
      </m:oMath>
      <w:r w:rsidRPr="007861F6">
        <w:rPr>
          <w:rFonts w:ascii="Bell MT" w:hAnsi="Bell MT"/>
        </w:rPr>
        <w:t xml:space="preserve">satisfies </w:t>
      </w:r>
      <m:oMath>
        <m:r>
          <w:rPr>
            <w:rFonts w:ascii="Cambria Math" w:hAnsi="Cambria Math"/>
          </w:rPr>
          <m:t>d≥C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244</m:t>
            </m:r>
          </m:e>
        </m:func>
      </m:oMath>
      <w:r w:rsidRPr="007861F6">
        <w:rPr>
          <w:rFonts w:ascii="Bell MT" w:hAnsi="Bell MT"/>
        </w:rPr>
        <w:t xml:space="preserve">with a comfortable margin. The 2025 proof states </w:t>
      </w:r>
      <m:oMath>
        <m:r>
          <w:rPr>
            <w:rFonts w:ascii="Cambria Math" w:hAnsi="Cambria Math"/>
          </w:rPr>
          <m:t>d=ω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861F6">
        <w:rPr>
          <w:rFonts w:ascii="Bell MT" w:hAnsi="Bell MT"/>
        </w:rPr>
        <w:t>but does not specify a numerical constant. This must be checked numerically for the specific NDM-1 graph.</w:t>
      </w:r>
    </w:p>
    <w:p w14:paraId="6E2BF66A" w14:textId="77777777" w:rsidR="007861F6" w:rsidRPr="007861F6" w:rsidRDefault="007861F6" w:rsidP="007861F6">
      <w:pPr>
        <w:numPr>
          <w:ilvl w:val="0"/>
          <w:numId w:val="1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How near-regular the NDM-1 contact graph actually is.</w:t>
      </w:r>
      <w:r w:rsidRPr="007861F6">
        <w:rPr>
          <w:rFonts w:ascii="Bell MT" w:hAnsi="Bell MT"/>
        </w:rPr>
        <w:t xml:space="preserve"> Empirical studies show mean degree between 5 and 8, with a power-law regime followed by a sharp cutoff. The degree distribution is </w:t>
      </w:r>
      <w:r w:rsidRPr="007861F6">
        <w:rPr>
          <w:rFonts w:ascii="Bell MT" w:hAnsi="Bell MT"/>
          <w:b/>
          <w:bCs/>
        </w:rPr>
        <w:t>not perfectly regular</w:t>
      </w:r>
      <w:r w:rsidRPr="007861F6">
        <w:rPr>
          <w:rFonts w:ascii="Bell MT" w:hAnsi="Bell MT"/>
        </w:rPr>
        <w:t>. The near-regular version of the sandwich theorem (Gao–Isaev–McKay) must be used if the heterogeneity exceeds the near-regularity threshold.</w:t>
      </w:r>
    </w:p>
    <w:p w14:paraId="27994116" w14:textId="77777777" w:rsidR="007861F6" w:rsidRPr="007861F6" w:rsidRDefault="007861F6" w:rsidP="007861F6">
      <w:pPr>
        <w:numPr>
          <w:ilvl w:val="0"/>
          <w:numId w:val="1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>Relative tightness of sandwich-based vs. topology-aware PAC-Bayes bounds</w:t>
      </w:r>
      <w:r w:rsidRPr="007861F6">
        <w:rPr>
          <w:rFonts w:ascii="Bell MT" w:hAnsi="Bell MT"/>
        </w:rPr>
        <w:t xml:space="preserve"> on this specific protein. Both routes should be computed and compared.</w:t>
      </w:r>
    </w:p>
    <w:p w14:paraId="3D62B725" w14:textId="71BB2A5D" w:rsidR="007861F6" w:rsidRPr="007861F6" w:rsidRDefault="007861F6" w:rsidP="007861F6">
      <w:pPr>
        <w:numPr>
          <w:ilvl w:val="0"/>
          <w:numId w:val="13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  <w:b/>
          <w:bCs/>
        </w:rPr>
        <w:t xml:space="preserve">Correlation strength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  <w:b/>
          <w:bCs/>
        </w:rPr>
        <w:t>and experimental flexibility / energy metrics.</w:t>
      </w:r>
      <w:r w:rsidRPr="007861F6">
        <w:rPr>
          <w:rFonts w:ascii="Bell MT" w:hAnsi="Bell MT"/>
        </w:rPr>
        <w:t xml:space="preserve"> High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61F6">
        <w:rPr>
          <w:rFonts w:ascii="Bell MT" w:hAnsi="Bell MT"/>
        </w:rPr>
        <w:t>should align with high local Rosetta energy, disrupted H-bond networks, and high HDX-MS flexibility. This must be validated empirically.</w:t>
      </w:r>
    </w:p>
    <w:p w14:paraId="0F18CB3B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IX: Foolproof Checklist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4"/>
        <w:gridCol w:w="2350"/>
        <w:gridCol w:w="2629"/>
        <w:gridCol w:w="2425"/>
      </w:tblGrid>
      <w:tr w:rsidR="007861F6" w:rsidRPr="007861F6" w14:paraId="5CC906F3" w14:textId="77777777" w:rsidTr="007861F6">
        <w:tc>
          <w:tcPr>
            <w:tcW w:w="0" w:type="auto"/>
            <w:hideMark/>
          </w:tcPr>
          <w:p w14:paraId="4539402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lastRenderedPageBreak/>
              <w:t>Critical Step</w:t>
            </w:r>
          </w:p>
        </w:tc>
        <w:tc>
          <w:tcPr>
            <w:tcW w:w="0" w:type="auto"/>
            <w:hideMark/>
          </w:tcPr>
          <w:p w14:paraId="405F922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Failure Mode</w:t>
            </w:r>
          </w:p>
        </w:tc>
        <w:tc>
          <w:tcPr>
            <w:tcW w:w="0" w:type="auto"/>
            <w:hideMark/>
          </w:tcPr>
          <w:p w14:paraId="2D75D40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Mitigation</w:t>
            </w:r>
          </w:p>
        </w:tc>
        <w:tc>
          <w:tcPr>
            <w:tcW w:w="0" w:type="auto"/>
            <w:hideMark/>
          </w:tcPr>
          <w:p w14:paraId="1C53FAC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Verification</w:t>
            </w:r>
          </w:p>
        </w:tc>
      </w:tr>
      <w:tr w:rsidR="007861F6" w:rsidRPr="007861F6" w14:paraId="461EEDA4" w14:textId="77777777" w:rsidTr="007861F6">
        <w:tc>
          <w:tcPr>
            <w:tcW w:w="0" w:type="auto"/>
            <w:hideMark/>
          </w:tcPr>
          <w:p w14:paraId="271C83E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Near-regularity check</w:t>
            </w:r>
          </w:p>
        </w:tc>
        <w:tc>
          <w:tcPr>
            <w:tcW w:w="0" w:type="auto"/>
            <w:hideMark/>
          </w:tcPr>
          <w:p w14:paraId="0BFBFBE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Graph too heterogeneous for sandwich</w:t>
            </w:r>
          </w:p>
        </w:tc>
        <w:tc>
          <w:tcPr>
            <w:tcW w:w="0" w:type="auto"/>
            <w:hideMark/>
          </w:tcPr>
          <w:p w14:paraId="5CFC548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topology-aware PAC-Bayes if near-regularity fails</w:t>
            </w:r>
          </w:p>
        </w:tc>
        <w:tc>
          <w:tcPr>
            <w:tcW w:w="0" w:type="auto"/>
            <w:hideMark/>
          </w:tcPr>
          <w:p w14:paraId="5743263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Compute degree range; compare to mean</w:t>
            </w:r>
          </w:p>
        </w:tc>
      </w:tr>
      <w:tr w:rsidR="007861F6" w:rsidRPr="007861F6" w14:paraId="090A2A00" w14:textId="77777777" w:rsidTr="007861F6">
        <w:tc>
          <w:tcPr>
            <w:tcW w:w="0" w:type="auto"/>
            <w:hideMark/>
          </w:tcPr>
          <w:p w14:paraId="2B8F939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  <w:b/>
                <w:bCs/>
              </w:rPr>
              <w:t>Sandwich theorem applicability</w:t>
            </w:r>
          </w:p>
        </w:tc>
        <w:tc>
          <w:tcPr>
            <w:tcW w:w="0" w:type="auto"/>
            <w:hideMark/>
          </w:tcPr>
          <w:p w14:paraId="3E1E71C8" w14:textId="3D2126E1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m:oMathPara>
              <m:oMath>
                <m:r>
                  <w:rPr>
                    <w:rFonts w:ascii="Cambria Math" w:hAnsi="Cambria Math"/>
                  </w:rPr>
                  <m:t>d≠ω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30FFE2A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2025 full proof; check numerically</w:t>
            </w:r>
          </w:p>
        </w:tc>
        <w:tc>
          <w:tcPr>
            <w:tcW w:w="0" w:type="auto"/>
            <w:hideMark/>
          </w:tcPr>
          <w:p w14:paraId="63A6976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State theorem correctly</w:t>
            </w:r>
          </w:p>
        </w:tc>
      </w:tr>
      <w:tr w:rsidR="007861F6" w:rsidRPr="007861F6" w14:paraId="3BF81298" w14:textId="77777777" w:rsidTr="007861F6">
        <w:tc>
          <w:tcPr>
            <w:tcW w:w="0" w:type="auto"/>
            <w:hideMark/>
          </w:tcPr>
          <w:p w14:paraId="65F9F99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Polynomial degree blow-up</w:t>
            </w:r>
          </w:p>
        </w:tc>
        <w:tc>
          <w:tcPr>
            <w:tcW w:w="0" w:type="auto"/>
            <w:hideMark/>
          </w:tcPr>
          <w:p w14:paraId="41E933E1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 xml:space="preserve">Deep GNN </w:t>
            </w:r>
            <w:r w:rsidRPr="007861F6">
              <w:rPr>
                <w:rFonts w:ascii="Times New Roman" w:hAnsi="Times New Roman" w:cs="Times New Roman"/>
              </w:rPr>
              <w:t>→</w:t>
            </w:r>
            <w:r w:rsidRPr="007861F6">
              <w:rPr>
                <w:rFonts w:ascii="Bell MT" w:hAnsi="Bell MT"/>
              </w:rPr>
              <w:t xml:space="preserve"> loose bound</w:t>
            </w:r>
          </w:p>
        </w:tc>
        <w:tc>
          <w:tcPr>
            <w:tcW w:w="0" w:type="auto"/>
            <w:hideMark/>
          </w:tcPr>
          <w:p w14:paraId="2A781BA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2-layer GNN</w:t>
            </w:r>
          </w:p>
        </w:tc>
        <w:tc>
          <w:tcPr>
            <w:tcW w:w="0" w:type="auto"/>
            <w:hideMark/>
          </w:tcPr>
          <w:p w14:paraId="5CC9922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Validate polynomial representation</w:t>
            </w:r>
          </w:p>
        </w:tc>
      </w:tr>
      <w:tr w:rsidR="007861F6" w:rsidRPr="007861F6" w14:paraId="68E28F64" w14:textId="77777777" w:rsidTr="007861F6">
        <w:tc>
          <w:tcPr>
            <w:tcW w:w="0" w:type="auto"/>
            <w:hideMark/>
          </w:tcPr>
          <w:p w14:paraId="36EE2EC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Independence assumption</w:t>
            </w:r>
          </w:p>
        </w:tc>
        <w:tc>
          <w:tcPr>
            <w:tcW w:w="0" w:type="auto"/>
            <w:hideMark/>
          </w:tcPr>
          <w:p w14:paraId="6A8669A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Edges are dependent</w:t>
            </w:r>
          </w:p>
        </w:tc>
        <w:tc>
          <w:tcPr>
            <w:tcW w:w="0" w:type="auto"/>
            <w:hideMark/>
          </w:tcPr>
          <w:p w14:paraId="41901D2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 xml:space="preserve">Apply sandwich theorem </w:t>
            </w:r>
            <w:r w:rsidRPr="007861F6">
              <w:rPr>
                <w:rFonts w:ascii="Bell MT" w:hAnsi="Bell MT"/>
                <w:b/>
                <w:bCs/>
              </w:rPr>
              <w:t>after</w:t>
            </w:r>
            <w:r w:rsidRPr="007861F6">
              <w:rPr>
                <w:rFonts w:ascii="Bell MT" w:hAnsi="Bell MT"/>
              </w:rPr>
              <w:t xml:space="preserve"> training</w:t>
            </w:r>
          </w:p>
        </w:tc>
        <w:tc>
          <w:tcPr>
            <w:tcW w:w="0" w:type="auto"/>
            <w:hideMark/>
          </w:tcPr>
          <w:p w14:paraId="50BC750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Verify coupling exists</w:t>
            </w:r>
          </w:p>
        </w:tc>
      </w:tr>
      <w:tr w:rsidR="007861F6" w:rsidRPr="007861F6" w14:paraId="66CD32D8" w14:textId="77777777" w:rsidTr="007861F6">
        <w:tc>
          <w:tcPr>
            <w:tcW w:w="0" w:type="auto"/>
            <w:hideMark/>
          </w:tcPr>
          <w:p w14:paraId="56A3E73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Concentration bound tightness</w:t>
            </w:r>
          </w:p>
        </w:tc>
        <w:tc>
          <w:tcPr>
            <w:tcW w:w="0" w:type="auto"/>
            <w:hideMark/>
          </w:tcPr>
          <w:p w14:paraId="68E9F46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Kim-Vu too loose</w:t>
            </w:r>
          </w:p>
        </w:tc>
        <w:tc>
          <w:tcPr>
            <w:tcW w:w="0" w:type="auto"/>
            <w:hideMark/>
          </w:tcPr>
          <w:p w14:paraId="72531CC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Schudy-Sviridenko + multilinear Bernstein</w:t>
            </w:r>
          </w:p>
        </w:tc>
        <w:tc>
          <w:tcPr>
            <w:tcW w:w="0" w:type="auto"/>
            <w:hideMark/>
          </w:tcPr>
          <w:p w14:paraId="798462B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all three; at least one non-vacuous</w:t>
            </w:r>
          </w:p>
        </w:tc>
      </w:tr>
      <w:tr w:rsidR="007861F6" w:rsidRPr="007861F6" w14:paraId="4DF47BBC" w14:textId="77777777" w:rsidTr="007861F6">
        <w:tc>
          <w:tcPr>
            <w:tcW w:w="0" w:type="auto"/>
            <w:hideMark/>
          </w:tcPr>
          <w:p w14:paraId="6924733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Generalization bound</w:t>
            </w:r>
          </w:p>
        </w:tc>
        <w:tc>
          <w:tcPr>
            <w:tcW w:w="0" w:type="auto"/>
            <w:hideMark/>
          </w:tcPr>
          <w:p w14:paraId="3665E525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Vacuous (&gt;1)</w:t>
            </w:r>
          </w:p>
        </w:tc>
        <w:tc>
          <w:tcPr>
            <w:tcW w:w="0" w:type="auto"/>
            <w:hideMark/>
          </w:tcPr>
          <w:p w14:paraId="7E148B3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Use topology-aware PAC-Bayes</w:t>
            </w:r>
          </w:p>
        </w:tc>
        <w:tc>
          <w:tcPr>
            <w:tcW w:w="0" w:type="auto"/>
            <w:hideMark/>
          </w:tcPr>
          <w:p w14:paraId="752CACF7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numerical value</w:t>
            </w:r>
          </w:p>
        </w:tc>
      </w:tr>
      <w:tr w:rsidR="007861F6" w:rsidRPr="007861F6" w14:paraId="6A5E1DDF" w14:textId="77777777" w:rsidTr="007861F6">
        <w:tc>
          <w:tcPr>
            <w:tcW w:w="0" w:type="auto"/>
            <w:hideMark/>
          </w:tcPr>
          <w:p w14:paraId="373BCCD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Evaluation bias</w:t>
            </w:r>
          </w:p>
        </w:tc>
        <w:tc>
          <w:tcPr>
            <w:tcW w:w="0" w:type="auto"/>
            <w:hideMark/>
          </w:tcPr>
          <w:p w14:paraId="0C2D288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Random split overestimates</w:t>
            </w:r>
          </w:p>
        </w:tc>
        <w:tc>
          <w:tcPr>
            <w:tcW w:w="0" w:type="auto"/>
            <w:hideMark/>
          </w:tcPr>
          <w:p w14:paraId="3B7851CE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Position-disjoint split</w:t>
            </w:r>
          </w:p>
        </w:tc>
        <w:tc>
          <w:tcPr>
            <w:tcW w:w="0" w:type="auto"/>
            <w:hideMark/>
          </w:tcPr>
          <w:p w14:paraId="11E71D5C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both splits</w:t>
            </w:r>
          </w:p>
        </w:tc>
      </w:tr>
      <w:tr w:rsidR="007861F6" w:rsidRPr="007861F6" w14:paraId="4AE4007F" w14:textId="77777777" w:rsidTr="007861F6">
        <w:tc>
          <w:tcPr>
            <w:tcW w:w="0" w:type="auto"/>
            <w:hideMark/>
          </w:tcPr>
          <w:p w14:paraId="37ACF0D8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Noise ceiling</w:t>
            </w:r>
          </w:p>
        </w:tc>
        <w:tc>
          <w:tcPr>
            <w:tcW w:w="0" w:type="auto"/>
            <w:hideMark/>
          </w:tcPr>
          <w:p w14:paraId="00A0597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Model exceeds achievable limit</w:t>
            </w:r>
          </w:p>
        </w:tc>
        <w:tc>
          <w:tcPr>
            <w:tcW w:w="0" w:type="auto"/>
            <w:hideMark/>
          </w:tcPr>
          <w:p w14:paraId="229549F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Estimate replicate correlation</w:t>
            </w:r>
          </w:p>
        </w:tc>
        <w:tc>
          <w:tcPr>
            <w:tcW w:w="0" w:type="auto"/>
            <w:hideMark/>
          </w:tcPr>
          <w:p w14:paraId="5443DF8D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relative performance</w:t>
            </w:r>
          </w:p>
        </w:tc>
      </w:tr>
      <w:tr w:rsidR="007861F6" w:rsidRPr="007861F6" w14:paraId="0D8CFC98" w14:textId="77777777" w:rsidTr="007861F6">
        <w:tc>
          <w:tcPr>
            <w:tcW w:w="0" w:type="auto"/>
            <w:hideMark/>
          </w:tcPr>
          <w:p w14:paraId="27F3E93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Baseline comparison</w:t>
            </w:r>
          </w:p>
        </w:tc>
        <w:tc>
          <w:tcPr>
            <w:tcW w:w="0" w:type="auto"/>
            <w:hideMark/>
          </w:tcPr>
          <w:p w14:paraId="5347D8F2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Model ≈ site-mean</w:t>
            </w:r>
          </w:p>
        </w:tc>
        <w:tc>
          <w:tcPr>
            <w:tcW w:w="0" w:type="auto"/>
            <w:hideMark/>
          </w:tcPr>
          <w:p w14:paraId="065AAB90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Site-mean + ESM-2 baselines</w:t>
            </w:r>
          </w:p>
        </w:tc>
        <w:tc>
          <w:tcPr>
            <w:tcW w:w="0" w:type="auto"/>
            <w:hideMark/>
          </w:tcPr>
          <w:p w14:paraId="5F74592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Require significant improvement</w:t>
            </w:r>
          </w:p>
        </w:tc>
      </w:tr>
      <w:tr w:rsidR="007861F6" w:rsidRPr="007861F6" w14:paraId="4C764983" w14:textId="77777777" w:rsidTr="007861F6">
        <w:tc>
          <w:tcPr>
            <w:tcW w:w="0" w:type="auto"/>
            <w:hideMark/>
          </w:tcPr>
          <w:p w14:paraId="74C31B5F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Cross-protein generalization</w:t>
            </w:r>
          </w:p>
        </w:tc>
        <w:tc>
          <w:tcPr>
            <w:tcW w:w="0" w:type="auto"/>
            <w:hideMark/>
          </w:tcPr>
          <w:p w14:paraId="7BFE08A3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NDM-1-specific overfitting</w:t>
            </w:r>
          </w:p>
        </w:tc>
        <w:tc>
          <w:tcPr>
            <w:tcW w:w="0" w:type="auto"/>
            <w:hideMark/>
          </w:tcPr>
          <w:p w14:paraId="5B9E629A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VIM-2 + multiple homologs</w:t>
            </w:r>
          </w:p>
        </w:tc>
        <w:tc>
          <w:tcPr>
            <w:tcW w:w="0" w:type="auto"/>
            <w:hideMark/>
          </w:tcPr>
          <w:p w14:paraId="6639A4DB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transfer performance</w:t>
            </w:r>
          </w:p>
        </w:tc>
      </w:tr>
      <w:tr w:rsidR="007861F6" w:rsidRPr="007861F6" w14:paraId="28A4D6F5" w14:textId="77777777" w:rsidTr="007861F6">
        <w:tc>
          <w:tcPr>
            <w:tcW w:w="0" w:type="auto"/>
            <w:hideMark/>
          </w:tcPr>
          <w:p w14:paraId="70EF0C4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Clinical relevance</w:t>
            </w:r>
          </w:p>
        </w:tc>
        <w:tc>
          <w:tcPr>
            <w:tcW w:w="0" w:type="auto"/>
            <w:hideMark/>
          </w:tcPr>
          <w:p w14:paraId="1DB67934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Predictions misalign</w:t>
            </w:r>
          </w:p>
        </w:tc>
        <w:tc>
          <w:tcPr>
            <w:tcW w:w="0" w:type="auto"/>
            <w:hideMark/>
          </w:tcPr>
          <w:p w14:paraId="7C5473F6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BLDB + M154L validation</w:t>
            </w:r>
          </w:p>
        </w:tc>
        <w:tc>
          <w:tcPr>
            <w:tcW w:w="0" w:type="auto"/>
            <w:hideMark/>
          </w:tcPr>
          <w:p w14:paraId="4EF1ADC9" w14:textId="77777777" w:rsidR="007861F6" w:rsidRPr="007861F6" w:rsidRDefault="007861F6" w:rsidP="007861F6">
            <w:pPr>
              <w:spacing w:line="360" w:lineRule="auto"/>
              <w:rPr>
                <w:rFonts w:ascii="Bell MT" w:hAnsi="Bell MT"/>
              </w:rPr>
            </w:pPr>
            <w:r w:rsidRPr="007861F6">
              <w:rPr>
                <w:rFonts w:ascii="Bell MT" w:hAnsi="Bell MT"/>
              </w:rPr>
              <w:t>Report alignment</w:t>
            </w:r>
          </w:p>
        </w:tc>
      </w:tr>
    </w:tbl>
    <w:p w14:paraId="56D72DCC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X: Key References</w:t>
      </w:r>
    </w:p>
    <w:p w14:paraId="1804DF2D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Behague, N., Il’kovi</w:t>
      </w:r>
      <w:r w:rsidRPr="007861F6">
        <w:rPr>
          <w:rFonts w:ascii="Cambria" w:hAnsi="Cambria" w:cs="Cambria"/>
        </w:rPr>
        <w:t>č</w:t>
      </w:r>
      <w:r w:rsidRPr="007861F6">
        <w:rPr>
          <w:rFonts w:ascii="Bell MT" w:hAnsi="Bell MT"/>
        </w:rPr>
        <w:t>, D., &amp; Montgomery, R. (2025). A proof of the Kim-Vu sandwich conjecture. arXiv:2510.20765.</w:t>
      </w:r>
    </w:p>
    <w:p w14:paraId="0DF282B0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Schudy, W., &amp; Sviridenko, M. (2012). Concentration and moment inequalities for polynomials of independent random variables. </w:t>
      </w:r>
      <w:r w:rsidRPr="007861F6">
        <w:rPr>
          <w:rFonts w:ascii="Bell MT" w:hAnsi="Bell MT"/>
          <w:i/>
          <w:iCs/>
        </w:rPr>
        <w:t>SODA 2012</w:t>
      </w:r>
      <w:r w:rsidRPr="007861F6">
        <w:rPr>
          <w:rFonts w:ascii="Bell MT" w:hAnsi="Bell MT"/>
        </w:rPr>
        <w:t>.</w:t>
      </w:r>
    </w:p>
    <w:p w14:paraId="2B8C5C67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Chen et al. (2024). Understanding epistatic networks in the B1 </w:t>
      </w:r>
      <w:r w:rsidRPr="007861F6">
        <w:rPr>
          <w:rFonts w:ascii="Cambria" w:hAnsi="Cambria" w:cs="Cambria"/>
        </w:rPr>
        <w:t>β</w:t>
      </w:r>
      <w:r w:rsidRPr="007861F6">
        <w:rPr>
          <w:rFonts w:ascii="Bell MT" w:hAnsi="Bell MT"/>
        </w:rPr>
        <w:t xml:space="preserve">-lactamases. </w:t>
      </w:r>
      <w:r w:rsidRPr="007861F6">
        <w:rPr>
          <w:rFonts w:ascii="Bell MT" w:hAnsi="Bell MT"/>
          <w:i/>
          <w:iCs/>
        </w:rPr>
        <w:t>Nature Communications</w:t>
      </w:r>
      <w:r w:rsidRPr="007861F6">
        <w:rPr>
          <w:rFonts w:ascii="Bell MT" w:hAnsi="Bell MT"/>
        </w:rPr>
        <w:t>, 15, 8441.</w:t>
      </w:r>
    </w:p>
    <w:p w14:paraId="42C19351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Liao, R., Urtasun, R., &amp; Zemel, R. (2021). A PAC-Bayesian approach to generalization bounds for graph neural networks. </w:t>
      </w:r>
      <w:r w:rsidRPr="007861F6">
        <w:rPr>
          <w:rFonts w:ascii="Bell MT" w:hAnsi="Bell MT"/>
          <w:i/>
          <w:iCs/>
        </w:rPr>
        <w:t>ICLR</w:t>
      </w:r>
      <w:r w:rsidRPr="007861F6">
        <w:rPr>
          <w:rFonts w:ascii="Bell MT" w:hAnsi="Bell MT"/>
        </w:rPr>
        <w:t>.</w:t>
      </w:r>
    </w:p>
    <w:p w14:paraId="173D513C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lastRenderedPageBreak/>
        <w:t xml:space="preserve">Hsu, N. et al. (2025). A </w:t>
      </w:r>
      <w:proofErr w:type="gramStart"/>
      <w:r w:rsidRPr="007861F6">
        <w:rPr>
          <w:rFonts w:ascii="Bell MT" w:hAnsi="Bell MT"/>
        </w:rPr>
        <w:t>protein dynamics</w:t>
      </w:r>
      <w:proofErr w:type="gramEnd"/>
      <w:r w:rsidRPr="007861F6">
        <w:rPr>
          <w:rFonts w:ascii="Bell MT" w:hAnsi="Bell MT"/>
        </w:rPr>
        <w:t xml:space="preserve">–based deep learning model enhances predictions of fitness and epistasis. </w:t>
      </w:r>
      <w:r w:rsidRPr="007861F6">
        <w:rPr>
          <w:rFonts w:ascii="Bell MT" w:hAnsi="Bell MT"/>
          <w:i/>
          <w:iCs/>
        </w:rPr>
        <w:t>PNAS</w:t>
      </w:r>
      <w:r w:rsidRPr="007861F6">
        <w:rPr>
          <w:rFonts w:ascii="Bell MT" w:hAnsi="Bell MT"/>
        </w:rPr>
        <w:t>, 122(42), e2502444122.</w:t>
      </w:r>
    </w:p>
    <w:p w14:paraId="2662373A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Yi, X. (2026). Topology-Aware PAC-Bayesian Generalization Analysis for Graph Neural Networks. arXiv:2604.10553.</w:t>
      </w:r>
    </w:p>
    <w:p w14:paraId="20ED6A0A" w14:textId="085C9FC2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Gao, P., Isaev, M., &amp; McKay, B.D. (2020). Kim–Vu’s sandwich conjecture is true for </w:t>
      </w:r>
      <m:oMath>
        <m:r>
          <w:rPr>
            <w:rFonts w:ascii="Cambria Math" w:hAnsi="Cambria Math"/>
          </w:rPr>
          <m:t>d≫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n</m:t>
        </m:r>
      </m:oMath>
      <w:r w:rsidRPr="007861F6">
        <w:rPr>
          <w:rFonts w:ascii="Bell MT" w:hAnsi="Bell MT"/>
        </w:rPr>
        <w:t>. arXiv:2011.09449.</w:t>
      </w:r>
    </w:p>
    <w:p w14:paraId="4F09BD6D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Schwarte, J.V., &amp; Fromm, K.M. (2025). Dataset for New-Delhi Metallo-</w:t>
      </w:r>
      <w:r w:rsidRPr="007861F6">
        <w:rPr>
          <w:rFonts w:ascii="Cambria" w:hAnsi="Cambria" w:cs="Cambria"/>
        </w:rPr>
        <w:t>β</w:t>
      </w:r>
      <w:r w:rsidRPr="007861F6">
        <w:rPr>
          <w:rFonts w:ascii="Bell MT" w:hAnsi="Bell MT"/>
        </w:rPr>
        <w:t>-Lactamase. Zenodo.</w:t>
      </w:r>
    </w:p>
    <w:p w14:paraId="43B4D67D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Huang, L. et al. (2025). Inhibitor-dependent tolerance of NDM driven by single mutation-induced conformational changes. </w:t>
      </w:r>
      <w:r w:rsidRPr="007861F6">
        <w:rPr>
          <w:rFonts w:ascii="Bell MT" w:hAnsi="Bell MT"/>
          <w:i/>
          <w:iCs/>
        </w:rPr>
        <w:t>JACS</w:t>
      </w:r>
      <w:r w:rsidRPr="007861F6">
        <w:rPr>
          <w:rFonts w:ascii="Bell MT" w:hAnsi="Bell MT"/>
        </w:rPr>
        <w:t>.</w:t>
      </w:r>
    </w:p>
    <w:p w14:paraId="0B9555BA" w14:textId="77777777" w:rsidR="007861F6" w:rsidRPr="007861F6" w:rsidRDefault="007861F6" w:rsidP="007861F6">
      <w:pPr>
        <w:numPr>
          <w:ilvl w:val="0"/>
          <w:numId w:val="14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Gaci, O., &amp; Balev, S. (2008). Characterization of amino acid interaction networks in proteins. </w:t>
      </w:r>
      <w:r w:rsidRPr="007861F6">
        <w:rPr>
          <w:rFonts w:ascii="Bell MT" w:hAnsi="Bell MT"/>
          <w:i/>
          <w:iCs/>
        </w:rPr>
        <w:t>JOBIM 2008</w:t>
      </w:r>
      <w:r w:rsidRPr="007861F6">
        <w:rPr>
          <w:rFonts w:ascii="Bell MT" w:hAnsi="Bell MT"/>
        </w:rPr>
        <w:t>.</w:t>
      </w:r>
    </w:p>
    <w:p w14:paraId="7B066BA7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Part XI: GitHub Profiles</w:t>
      </w:r>
    </w:p>
    <w:p w14:paraId="405CD084" w14:textId="77777777" w:rsidR="007861F6" w:rsidRPr="007861F6" w:rsidRDefault="007861F6" w:rsidP="007861F6">
      <w:pPr>
        <w:numPr>
          <w:ilvl w:val="0"/>
          <w:numId w:val="1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https://github.com/johnchen93/MetaSSN</w:t>
      </w:r>
    </w:p>
    <w:p w14:paraId="43B832B1" w14:textId="77777777" w:rsidR="007861F6" w:rsidRPr="007861F6" w:rsidRDefault="007861F6" w:rsidP="007861F6">
      <w:pPr>
        <w:numPr>
          <w:ilvl w:val="0"/>
          <w:numId w:val="1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https://github.com/johnchen93/DMS-FastQ-processing</w:t>
      </w:r>
    </w:p>
    <w:p w14:paraId="0C7D88DF" w14:textId="77777777" w:rsidR="007861F6" w:rsidRPr="007861F6" w:rsidRDefault="007861F6" w:rsidP="007861F6">
      <w:pPr>
        <w:numPr>
          <w:ilvl w:val="0"/>
          <w:numId w:val="1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https://github.com/anna-pa-m/adabmDCA</w:t>
      </w:r>
    </w:p>
    <w:p w14:paraId="46F87AF3" w14:textId="77777777" w:rsidR="007861F6" w:rsidRPr="007861F6" w:rsidRDefault="007861F6" w:rsidP="007861F6">
      <w:pPr>
        <w:numPr>
          <w:ilvl w:val="0"/>
          <w:numId w:val="1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https://github.com/SBOZKAN/GNN (Dynamics-aware GNN)</w:t>
      </w:r>
    </w:p>
    <w:p w14:paraId="45918F00" w14:textId="77777777" w:rsidR="007861F6" w:rsidRPr="007861F6" w:rsidRDefault="007861F6" w:rsidP="007861F6">
      <w:pPr>
        <w:numPr>
          <w:ilvl w:val="0"/>
          <w:numId w:val="15"/>
        </w:num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https://github.com/ZhangGroup-MITChemistry/Schake_GNN (Multiscale architecture)</w:t>
      </w:r>
    </w:p>
    <w:p w14:paraId="7C27BADA" w14:textId="77777777" w:rsidR="007861F6" w:rsidRPr="007861F6" w:rsidRDefault="007861F6" w:rsidP="007861F6">
      <w:pPr>
        <w:spacing w:after="0" w:line="360" w:lineRule="auto"/>
        <w:rPr>
          <w:rFonts w:ascii="Bell MT" w:hAnsi="Bell MT"/>
          <w:b/>
          <w:bCs/>
        </w:rPr>
      </w:pPr>
      <w:r w:rsidRPr="007861F6">
        <w:rPr>
          <w:rFonts w:ascii="Bell MT" w:hAnsi="Bell MT"/>
          <w:b/>
          <w:bCs/>
        </w:rPr>
        <w:t>The Single Most Critical Condition</w:t>
      </w:r>
    </w:p>
    <w:p w14:paraId="1B3844D1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 xml:space="preserve">If the Schudy-Sviridenko bound (after the Kim-Vu sandwich bridge and near-regularity verification) is </w:t>
      </w:r>
      <w:r w:rsidRPr="007861F6">
        <w:rPr>
          <w:rFonts w:ascii="Bell MT" w:hAnsi="Bell MT"/>
          <w:b/>
          <w:bCs/>
        </w:rPr>
        <w:t>non-vacuous</w:t>
      </w:r>
      <w:r w:rsidRPr="007861F6">
        <w:rPr>
          <w:rFonts w:ascii="Bell MT" w:hAnsi="Bell MT"/>
        </w:rPr>
        <w:t xml:space="preserve"> on the NDM-1 task, the strategy is a </w:t>
      </w:r>
      <w:r w:rsidRPr="007861F6">
        <w:rPr>
          <w:rFonts w:ascii="Bell MT" w:hAnsi="Bell MT"/>
          <w:b/>
          <w:bCs/>
        </w:rPr>
        <w:t>genuine methodological breakthrough</w:t>
      </w:r>
      <w:r w:rsidRPr="007861F6">
        <w:rPr>
          <w:rFonts w:ascii="Bell MT" w:hAnsi="Bell MT"/>
        </w:rPr>
        <w:t>: the first provable generalization guarantee for AI-driven mutation effect prediction in antibiotic resistance. If the bound is vacuous, the theoretical contribution fails regardless of empirical performance.</w:t>
      </w:r>
    </w:p>
    <w:p w14:paraId="58B4D712" w14:textId="77777777" w:rsidR="007861F6" w:rsidRPr="007861F6" w:rsidRDefault="007861F6" w:rsidP="007861F6">
      <w:pPr>
        <w:spacing w:after="0" w:line="360" w:lineRule="auto"/>
        <w:rPr>
          <w:rFonts w:ascii="Bell MT" w:hAnsi="Bell MT"/>
        </w:rPr>
      </w:pPr>
      <w:r w:rsidRPr="007861F6">
        <w:rPr>
          <w:rFonts w:ascii="Bell MT" w:hAnsi="Bell MT"/>
        </w:rPr>
        <w:t>Everything else — the data, the GNN, the validation — exists to support this single mathematical result.</w:t>
      </w:r>
    </w:p>
    <w:p w14:paraId="4FA0A2B4" w14:textId="77777777" w:rsidR="002E40D3" w:rsidRPr="007861F6" w:rsidRDefault="002E40D3" w:rsidP="007861F6">
      <w:pPr>
        <w:spacing w:after="0" w:line="360" w:lineRule="auto"/>
        <w:rPr>
          <w:rFonts w:ascii="Bell MT" w:hAnsi="Bell MT"/>
        </w:rPr>
      </w:pPr>
    </w:p>
    <w:sectPr w:rsidR="002E40D3" w:rsidRPr="007861F6" w:rsidSect="007861F6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06E"/>
    <w:multiLevelType w:val="multilevel"/>
    <w:tmpl w:val="713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5E"/>
    <w:multiLevelType w:val="multilevel"/>
    <w:tmpl w:val="5D14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E743A"/>
    <w:multiLevelType w:val="multilevel"/>
    <w:tmpl w:val="568A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E5748"/>
    <w:multiLevelType w:val="multilevel"/>
    <w:tmpl w:val="392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57EF"/>
    <w:multiLevelType w:val="multilevel"/>
    <w:tmpl w:val="6DB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E08EC"/>
    <w:multiLevelType w:val="multilevel"/>
    <w:tmpl w:val="FCF2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60F13"/>
    <w:multiLevelType w:val="multilevel"/>
    <w:tmpl w:val="FE50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A3A0B"/>
    <w:multiLevelType w:val="multilevel"/>
    <w:tmpl w:val="EC4C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E409B"/>
    <w:multiLevelType w:val="multilevel"/>
    <w:tmpl w:val="9BC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4209B"/>
    <w:multiLevelType w:val="multilevel"/>
    <w:tmpl w:val="09D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7370"/>
    <w:multiLevelType w:val="multilevel"/>
    <w:tmpl w:val="DD9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276E0"/>
    <w:multiLevelType w:val="multilevel"/>
    <w:tmpl w:val="804C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B781B"/>
    <w:multiLevelType w:val="multilevel"/>
    <w:tmpl w:val="FF6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F6363"/>
    <w:multiLevelType w:val="multilevel"/>
    <w:tmpl w:val="0E7E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738F6"/>
    <w:multiLevelType w:val="multilevel"/>
    <w:tmpl w:val="EA9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639070">
    <w:abstractNumId w:val="12"/>
  </w:num>
  <w:num w:numId="2" w16cid:durableId="1481266145">
    <w:abstractNumId w:val="14"/>
  </w:num>
  <w:num w:numId="3" w16cid:durableId="1187132102">
    <w:abstractNumId w:val="8"/>
  </w:num>
  <w:num w:numId="4" w16cid:durableId="702829812">
    <w:abstractNumId w:val="2"/>
  </w:num>
  <w:num w:numId="5" w16cid:durableId="338508835">
    <w:abstractNumId w:val="11"/>
  </w:num>
  <w:num w:numId="6" w16cid:durableId="1382097807">
    <w:abstractNumId w:val="10"/>
  </w:num>
  <w:num w:numId="7" w16cid:durableId="1769232338">
    <w:abstractNumId w:val="9"/>
  </w:num>
  <w:num w:numId="8" w16cid:durableId="1916666295">
    <w:abstractNumId w:val="4"/>
  </w:num>
  <w:num w:numId="9" w16cid:durableId="1279605190">
    <w:abstractNumId w:val="0"/>
  </w:num>
  <w:num w:numId="10" w16cid:durableId="1764257993">
    <w:abstractNumId w:val="6"/>
  </w:num>
  <w:num w:numId="11" w16cid:durableId="178392484">
    <w:abstractNumId w:val="3"/>
  </w:num>
  <w:num w:numId="12" w16cid:durableId="1167162638">
    <w:abstractNumId w:val="1"/>
  </w:num>
  <w:num w:numId="13" w16cid:durableId="850339984">
    <w:abstractNumId w:val="13"/>
  </w:num>
  <w:num w:numId="14" w16cid:durableId="1000038879">
    <w:abstractNumId w:val="7"/>
  </w:num>
  <w:num w:numId="15" w16cid:durableId="719282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F6"/>
    <w:rsid w:val="002E40D3"/>
    <w:rsid w:val="004378E1"/>
    <w:rsid w:val="007861F6"/>
    <w:rsid w:val="00A5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59F8"/>
  <w15:chartTrackingRefBased/>
  <w15:docId w15:val="{9AA05AA6-0ADE-4890-8DB6-2F225948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F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861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2690</Words>
  <Characters>15337</Characters>
  <Application>Microsoft Office Word</Application>
  <DocSecurity>0</DocSecurity>
  <Lines>127</Lines>
  <Paragraphs>35</Paragraphs>
  <ScaleCrop>false</ScaleCrop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CGOM</dc:creator>
  <cp:keywords/>
  <dc:description/>
  <cp:lastModifiedBy>CGOM</cp:lastModifiedBy>
  <cp:revision>1</cp:revision>
  <dcterms:created xsi:type="dcterms:W3CDTF">2026-10-12T11:46:00Z</dcterms:created>
  <dcterms:modified xsi:type="dcterms:W3CDTF">2026-10-12T11:48:00Z</dcterms:modified>
</cp:coreProperties>
</file>