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Ανίχνευση και Αντιμετώπιση Επιθέσεων</w:t>
      </w:r>
    </w:p>
    <w:p>
      <w:pPr>
        <w:spacing w:after="600"/>
        <w:jc w:val="center"/>
      </w:pPr>
      <w:r>
        <w:rPr>
          <w:b/>
          <w:bCs/>
          <w:color w:val="1F4E79"/>
          <w:sz w:val="44"/>
          <w:szCs w:val="44"/>
        </w:rPr>
        <w:t xml:space="preserve">σε Δίκτυα Οριζόμενα από Λογισμικό (SDN)</w:t>
      </w:r>
    </w:p>
    <w:p>
      <w:pPr>
        <w:spacing w:after="200"/>
        <w:jc w:val="center"/>
      </w:pPr>
      <w:r>
        <w:rPr>
          <w:color w:val="404040"/>
          <w:sz w:val="28"/>
          <w:szCs w:val="28"/>
        </w:rPr>
        <w:t xml:space="preserve">Θεωρητικό Υπόβαθρο</w:t>
      </w:r>
    </w:p>
    <w:p>
      <w:pPr>
        <w:spacing w:after="200"/>
        <w:jc w:val="center"/>
      </w:pPr>
      <w:r>
        <w:rPr>
          <w:i/>
          <w:iCs/>
          <w:color w:val="808080"/>
          <w:sz w:val="24"/>
          <w:szCs w:val="24"/>
        </w:rPr>
        <w:t xml:space="preserve">Διπλωματική Εργασία</w:t>
      </w:r>
    </w:p>
    <w:p>
      <w:r>
        <w:br w:type="page"/>
      </w:r>
    </w:p>
    <w:p>
      <w:pPr>
        <w:pStyle w:val="Heading1"/>
      </w:pPr>
      <w:r>
        <w:t xml:space="preserve">Πίνακας Περιεχομένων</w:t>
      </w:r>
    </w:p>
    <w:sdt>
      <w:sdtPr>
        <w:alias w:val="Περιεχόμενα"/>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Εισαγωγή</w:t>
      </w:r>
    </w:p>
    <w:p>
      <w:pPr>
        <w:spacing w:after="140" w:line="300"/>
        <w:jc w:val="both"/>
      </w:pPr>
      <w:r>
        <w:t xml:space="preserve">Η ραγδαία αύξηση των απαιτήσεων των σύγχρονων δικτυακών εφαρμογών — από το cloud computing και το Internet of Things (IoT) μέχρι τη ροή δεδομένων υψηλής ευκρίνειας — έχει αναδείξει τους περιορισμούς της παραδοσιακής δικτυακής αρχιτεκτονικής. Στα συμβατικά δίκτυα, η λογική ελέγχου και η προώθηση δεδομένων είναι στενά συνδεδεμένες μέσα σε κάθε συσκευή, γεγονός που καθιστά τη διαχείριση δύσκαμπτη, την κλιμάκωση δαπανηρή και την καινοτομία αργή.</w:t>
      </w:r>
    </w:p>
    <w:p>
      <w:pPr>
        <w:spacing w:after="140" w:line="300"/>
        <w:jc w:val="both"/>
      </w:pPr>
      <w:r>
        <w:t xml:space="preserve">Τα Δίκτυα Οριζόμενα από Λογισμικό (Software Defined Networks - SDN) προτείνουν μια ριζική αναδιάρθρωση: τον διαχωρισμό του επιπέδου ελέγχου (control plane) από το επίπεδο δεδομένων (data plane). Η λογική του δικτύου συγκεντρώνεται σε έναν λογικά κεντρικό ελεγκτή (controller), ο οποίος προγραμματίζει τη συμπεριφορά των μεταγωγέων μέσω ανοιχτών πρωτοκόλλων, κυρίως του OpenFlow. Αυτή η ευελιξία, ωστόσο, συνοδεύεται από νέες προκλήσεις ασφάλειας.</w:t>
      </w:r>
    </w:p>
    <w:p>
      <w:pPr>
        <w:spacing w:after="140" w:line="300"/>
        <w:jc w:val="both"/>
      </w:pPr>
      <w:r>
        <w:t xml:space="preserve">Η παρούσα εργασία εστιάζει στην ανίχνευση και την αντιμετώπιση κυβερνοεπιθέσεων σε περιβάλλοντα SDN, με έμφαση στις επιθέσεις άρνησης εξυπηρέτησης (DoS/DDoS) που στοχεύουν τον κεντρικό ελεγκτή. Αξιοποιεί τεχνικές Μηχανικής Μάθησης για τη διάκριση της νόμιμης από την κακόβουλη κίνηση και προτείνει μηχανισμό αυτόματης αντιμετώπισης μέσω δυναμικής εγκατάστασης κανόνων ροής.</w:t>
      </w:r>
    </w:p>
    <w:p>
      <w:pPr>
        <w:pStyle w:val="Heading2"/>
      </w:pPr>
      <w:r>
        <w:t xml:space="preserve">1.1 Στόχοι της εργασίας</w:t>
      </w:r>
    </w:p>
    <w:p>
      <w:pPr>
        <w:pStyle w:val="ListParagraph"/>
        <w:numPr>
          <w:ilvl w:val="0"/>
          <w:numId w:val="2"/>
        </w:numPr>
        <w:spacing w:after="80" w:line="290"/>
      </w:pPr>
      <w:r>
        <w:t xml:space="preserve">Μελέτη της αρχιτεκτονικής SDN και του πρωτοκόλλου OpenFlow ως προς τις επιπτώσεις τους στην ασφάλεια.</w:t>
      </w:r>
    </w:p>
    <w:p>
      <w:pPr>
        <w:pStyle w:val="ListParagraph"/>
        <w:numPr>
          <w:ilvl w:val="0"/>
          <w:numId w:val="2"/>
        </w:numPr>
        <w:spacing w:after="80" w:line="290"/>
      </w:pPr>
      <w:r>
        <w:t xml:space="preserve">Ανάλυση των κυριότερων κατηγοριών επιθέσεων που απειλούν τα SDN, με έμφαση στον κεντρικό ελεγκτή.</w:t>
      </w:r>
    </w:p>
    <w:p>
      <w:pPr>
        <w:pStyle w:val="ListParagraph"/>
        <w:numPr>
          <w:ilvl w:val="0"/>
          <w:numId w:val="2"/>
        </w:numPr>
        <w:spacing w:after="80" w:line="290"/>
      </w:pPr>
      <w:r>
        <w:t xml:space="preserve">Σχεδίαση και υλοποίηση συστήματος ανίχνευσης βασισμένου σε Μηχανική Μάθηση, σε γλώσσα Python.</w:t>
      </w:r>
    </w:p>
    <w:p>
      <w:pPr>
        <w:pStyle w:val="ListParagraph"/>
        <w:numPr>
          <w:ilvl w:val="0"/>
          <w:numId w:val="2"/>
        </w:numPr>
        <w:spacing w:after="80" w:line="290"/>
      </w:pPr>
      <w:r>
        <w:t xml:space="preserve">Ενσωμάτωση του μηχανισμού ανίχνευσης σε ζωντανό περιβάλλον προσομοίωσης (Mininet/Ryu) με αυτόματη αντιμετώπιση.</w:t>
      </w:r>
    </w:p>
    <w:p>
      <w:pPr>
        <w:pStyle w:val="ListParagraph"/>
        <w:numPr>
          <w:ilvl w:val="0"/>
          <w:numId w:val="2"/>
        </w:numPr>
        <w:spacing w:after="80" w:line="290"/>
      </w:pPr>
      <w:r>
        <w:t xml:space="preserve">Πειραματική αξιολόγηση της απόδοσης με δημόσια δεδομένα και με δεδομένα από προσομοίωση.</w:t>
      </w:r>
    </w:p>
    <w:p>
      <w:r>
        <w:br w:type="page"/>
      </w:r>
    </w:p>
    <w:p>
      <w:pPr>
        <w:pStyle w:val="Heading1"/>
      </w:pPr>
      <w:r>
        <w:t xml:space="preserve">2. Αρχιτεκτονική των Δικτύων SDN</w:t>
      </w:r>
    </w:p>
    <w:p>
      <w:pPr>
        <w:spacing w:after="140" w:line="300"/>
        <w:jc w:val="both"/>
      </w:pPr>
      <w:r>
        <w:t xml:space="preserve">Η θεμελιώδης ιδέα των SDN είναι ο διαχωρισμός των αρμοδιοτήτων που στα παραδοσιακά δίκτυα συνυπάρχουν στην ίδια συσκευή. Στα SDN διακρίνονται τρία λογικά επίπεδα: το επίπεδο εφαρμογών, το επίπεδο ελέγχου και το επίπεδο δεδομένων, τα οποία επικοινωνούν μέσω καλά ορισμένων διεπαφών.</w:t>
      </w:r>
    </w:p>
    <w:p>
      <w:pPr>
        <w:pStyle w:val="Heading2"/>
      </w:pPr>
      <w:r>
        <w:t xml:space="preserve">2.1 Τα τρία επίπεδα</w:t>
      </w:r>
    </w:p>
    <w:p>
      <w:pPr>
        <w:pStyle w:val="Heading3"/>
      </w:pPr>
      <w:r>
        <w:t xml:space="preserve">2.1.1 Επίπεδο Δεδομένων (Data Plane)</w:t>
      </w:r>
    </w:p>
    <w:p>
      <w:pPr>
        <w:spacing w:after="140" w:line="300"/>
        <w:jc w:val="both"/>
      </w:pPr>
      <w:r>
        <w:t xml:space="preserve">Το επίπεδο δεδομένων αποτελείται από τους δικτυακούς μεταγωγείς (switches), οι οποίοι στα SDN είναι απλές συσκευές προώθησης χωρίς ενσωματωμένη λογική ελέγχου. Κάθε μεταγωγέας διατηρεί έναν ή περισσότερους πίνακες ροών (flow tables) με κανόνες που υπαγορεύουν πώς θα χειριστεί τα εισερχόμενα πακέτα. Όταν ένα πακέτο δεν ταιριάζει σε κανέναν υπάρχοντα κανόνα, προωθείται στον ελεγκτή για απόφαση.</w:t>
      </w:r>
    </w:p>
    <w:p>
      <w:pPr>
        <w:pStyle w:val="Heading3"/>
      </w:pPr>
      <w:r>
        <w:t xml:space="preserve">2.1.2 Επίπεδο Ελέγχου (Control Plane)</w:t>
      </w:r>
    </w:p>
    <w:p>
      <w:pPr>
        <w:spacing w:after="140" w:line="300"/>
        <w:jc w:val="both"/>
      </w:pPr>
      <w:r>
        <w:t xml:space="preserve">Το επίπεδο ελέγχου περιέχει τον ελεγκτή, ο οποίος αποτελεί τον λογικό εγκέφαλο του δικτύου. Ο ελεγκτής διατηρεί μια σφαιρική εικόνα της τοπολογίας, λαμβάνει αποφάσεις δρομολόγησης και προγραμματίζει τους πίνακες ροών των μεταγωγέων. Η λογική συγκέντρωση της ευφυΐας απλοποιεί τη διαχείριση αλλά δημιουργεί ένα κρίσιμο σημείο ευπάθειας.</w:t>
      </w:r>
    </w:p>
    <w:p>
      <w:pPr>
        <w:pStyle w:val="Heading3"/>
      </w:pPr>
      <w:r>
        <w:t xml:space="preserve">2.1.3 Επίπεδο Εφαρμογών (Application Plane)</w:t>
      </w:r>
    </w:p>
    <w:p>
      <w:pPr>
        <w:spacing w:after="140" w:line="300"/>
        <w:jc w:val="both"/>
      </w:pPr>
      <w:r>
        <w:t xml:space="preserve">Στο ανώτερο επίπεδο βρίσκονται οι δικτυακές εφαρμογές — όπως μηχανισμοί εξισορρόπησης φορτίου, τείχη προστασίας ή συστήματα ανίχνευσης εισβολών — που υλοποιούν την επιχειρησιακή πολιτική. Επικοινωνούν με τον ελεγκτή μέσω της βόρειας διεπαφής (northbound API), συνήθως RESTful.</w:t>
      </w:r>
    </w:p>
    <w:p>
      <w:pPr>
        <w:pStyle w:val="Heading2"/>
      </w:pPr>
      <w:r>
        <w:t xml:space="preserve">2.2 Διεπαφές επικοινωνίας</w:t>
      </w:r>
    </w:p>
    <w:p>
      <w:pPr>
        <w:spacing w:after="140" w:line="300"/>
        <w:jc w:val="both"/>
      </w:pPr>
      <w:r>
        <w:t xml:space="preserve">Η νότια διεπαφή (southbound API) συνδέει τον ελεγκτή με τους μεταγωγείς· το επικρατέστερο πρωτόκολλο είναι το OpenFlow, ενώ υποστηρίζονται και άλλα όπως τα NETCONF και OVSDB. Η βόρεια διεπαφή (northbound API) εκθέτει τις λειτουργίες του ελεγκτή προς τις εφαρμογές.</w:t>
      </w:r>
    </w:p>
    <w:p>
      <w:pPr>
        <w:pStyle w:val="Heading2"/>
      </w:pPr>
      <w:r>
        <w:t xml:space="preserve">2.3 Το πρωτόκολλο OpenFlow</w:t>
      </w:r>
    </w:p>
    <w:p>
      <w:pPr>
        <w:spacing w:after="140" w:line="300"/>
        <w:jc w:val="both"/>
      </w:pPr>
      <w:r>
        <w:t xml:space="preserve">Το OpenFlow είναι το πρότυπο πρωτόκολλο επικοινωνίας ελεγκτή-μεταγωγέα. Ορίζει τη δομή των πινάκων ροών, όπου κάθε καταχώρηση αποτελείται από πεδία ταιριάσματος (match fields), μετρητές (counters) και ενέργειες (actions). Όταν ένα πακέτο εισέρχεται σε έναν μεταγωγέα, συγκρίνεται με τους κανόνες· σε περίπτωση ταιριάσματος εκτελείται η αντίστοιχη ενέργεια (προώθηση, απόρριψη, τροποποίηση), ενώ σε περίπτωση αστοχίας ενεργοποιείται το συμβάν packet-in προς τον ελεγκτή.</w:t>
      </w:r>
    </w:p>
    <w:p>
      <w:pPr>
        <w:spacing w:after="140" w:line="300"/>
        <w:jc w:val="both"/>
      </w:pPr>
      <w:r>
        <w:t xml:space="preserve">Οι μετρητές που διατηρεί το OpenFlow ανά ροή (αριθμός πακέτων, αριθμός bytes, διάρκεια) αποτελούν πολύτιμη πηγή στατιστικών για την ανίχνευση ανωμαλιών, καθώς ο ελεγκτής μπορεί να τους ανακτά περιοδικά μέσω αιτημάτων flow-statistics.</w:t>
      </w:r>
    </w:p>
    <w:p>
      <w:pPr>
        <w:pStyle w:val="Heading2"/>
      </w:pPr>
      <w:r>
        <w:t xml:space="preserve">2.4 Ελεγκτές SDN</w:t>
      </w:r>
    </w:p>
    <w:p>
      <w:pPr>
        <w:spacing w:after="140" w:line="300"/>
        <w:jc w:val="both"/>
      </w:pPr>
      <w:r>
        <w:t xml:space="preserve">Έχουν αναπτυχθεί πολλοί ελεγκτές με διαφορετικά χαρακτηριστικά. Ο παρακάτω πίνακας συνοψίζει τους πιο διαδεδομένους: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780"/>
        <w:gridCol w:w="278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Ελεγκτής</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Γλώσσα</w:t>
            </w:r>
          </w:p>
        </w:tc>
        <w:tc>
          <w:tcPr>
            <w:tcW w:type="dxa" w:w="2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Χαρακτηριστικά</w:t>
            </w:r>
          </w:p>
        </w:tc>
        <w:tc>
          <w:tcPr>
            <w:tcW w:type="dxa" w:w="2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Χρήση</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Ryu</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Python</w:t>
            </w:r>
          </w:p>
        </w:tc>
        <w:tc>
          <w:tcPr>
            <w:tcW w:type="dxa" w:w="2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Component-based, πλήρης υποστήριξη OpenFlow 1.0-1.5</w:t>
            </w:r>
          </w:p>
        </w:tc>
        <w:tc>
          <w:tcPr>
            <w:tcW w:type="dxa" w:w="2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Ακαδημαϊκή έρευνα, πρωτοτυποποίηση</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POX</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Python</w:t>
            </w:r>
          </w:p>
        </w:tc>
        <w:tc>
          <w:tcPr>
            <w:tcW w:type="dxa" w:w="2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Απλός, εκπαιδευτικός, OpenFlow 1.0</w:t>
            </w:r>
          </w:p>
        </w:tc>
        <w:tc>
          <w:tcPr>
            <w:tcW w:type="dxa" w:w="2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Διδασκαλία, μικρά πειράματα</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ONOS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Java</w:t>
            </w:r>
          </w:p>
        </w:tc>
        <w:tc>
          <w:tcPr>
            <w:tcW w:type="dxa" w:w="2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Κατανεμημένος, υψηλή διαθεσιμότητα</w:t>
            </w:r>
          </w:p>
        </w:tc>
        <w:tc>
          <w:tcPr>
            <w:tcW w:type="dxa" w:w="2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Παραγωγή, τηλεπικοινωνίες</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OpenDaylight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Java</w:t>
            </w:r>
          </w:p>
        </w:tc>
        <w:tc>
          <w:tcPr>
            <w:tcW w:type="dxa" w:w="2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Modular, πλούσιο northbound API</w:t>
            </w:r>
          </w:p>
        </w:tc>
        <w:tc>
          <w:tcPr>
            <w:tcW w:type="dxa" w:w="2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Επιχειρησιακά δίκτυα</w:t>
            </w:r>
          </w:p>
        </w:tc>
      </w:tr>
    </w:tbl>
    <w:p>
      <w:pPr>
        <w:spacing w:after="120" w:before="120"/>
      </w:pPr>
      <w:r>
        <w:rPr>
          <w:i/>
          <w:iCs/>
          <w:color w:val="808080"/>
          <w:sz w:val="18"/>
          <w:szCs w:val="18"/>
        </w:rPr>
        <w:t xml:space="preserve">Πίνακας 2.1: Σύγκριση δημοφιλών ελεγκτών SDN.</w:t>
      </w:r>
    </w:p>
    <w:p>
      <w:pPr>
        <w:spacing w:after="140" w:line="300"/>
        <w:jc w:val="both"/>
      </w:pPr>
      <w:r>
        <w:t xml:space="preserve">Για την παρούσα εργασία επιλέχθηκε ο Ryu, καθώς είναι γραμμένος εξ ολοκλήρου σε Python, διαθέτει εκτενή ακαδημαϊκή βιβλιογραφία και επιτρέπει την εύκολη ενσωμάτωση βιβλιοθηκών Μηχανικής Μάθησης. Σημειώνεται ότι η επίσημη τεκμηρίωση του Ryu παραπέμπει πλέον στο os-ken (fork της κοινότητας OpenStack) ως τη συντηρούμενη εναλλακτική.</w:t>
      </w:r>
    </w:p>
    <w:p>
      <w:r>
        <w:br w:type="page"/>
      </w:r>
    </w:p>
    <w:p>
      <w:pPr>
        <w:pStyle w:val="Heading1"/>
      </w:pPr>
      <w:r>
        <w:t xml:space="preserve">3. Απειλές και Επιθέσεις σε Δίκτυα SDN</w:t>
      </w:r>
    </w:p>
    <w:p>
      <w:pPr>
        <w:spacing w:after="140" w:line="300"/>
        <w:jc w:val="both"/>
      </w:pPr>
      <w:r>
        <w:t xml:space="preserve">Η συγκέντρωση του ελέγχου, αν και πλεονέκτημα ευελιξίας, διευρύνει την επιφάνεια επίθεσης. Κάθε επίπεδο της αρχιτεκτονικής εισάγει ιδιαίτερες ευπάθειες, οι οποίες αναλύονται παρακάτω.</w:t>
      </w:r>
    </w:p>
    <w:p>
      <w:pPr>
        <w:pStyle w:val="Heading2"/>
      </w:pPr>
      <w:r>
        <w:t xml:space="preserve">3.1 Επιθέσεις στο επίπεδο ελέγχου</w:t>
      </w:r>
    </w:p>
    <w:p>
      <w:pPr>
        <w:spacing w:after="140" w:line="300"/>
        <w:jc w:val="both"/>
      </w:pPr>
      <w:r>
        <w:t xml:space="preserve">Ο κεντρικός ελεγκτής αποτελεί τον πιο ελκυστικό στόχο. Μια επιτυχημένη επίθεση εναντίον του μπορεί να παραλύσει ολόκληρο το δίκτυο, καθιστώντας τον ένα κρίσιμο σημείο αστοχίας (single point of failure).</w:t>
      </w:r>
    </w:p>
    <w:p>
      <w:pPr>
        <w:pStyle w:val="Heading3"/>
      </w:pPr>
      <w:r>
        <w:t xml:space="preserve">3.1.1 Επιθέσεις άρνησης εξυπηρέτησης (DoS/DDoS)</w:t>
      </w:r>
    </w:p>
    <w:p>
      <w:pPr>
        <w:spacing w:after="140" w:line="300"/>
        <w:jc w:val="both"/>
      </w:pPr>
      <w:r>
        <w:t xml:space="preserve">Η πιο κρίσιμη απειλή είναι η επίθεση άρνησης εξυπηρέτησης. Ο επιτιθέμενος παράγει τεράστιο όγκο πακέτων με νέα, μη αναγνωρισμένα χαρακτηριστικά ροής. Καθώς κανένα από αυτά δεν ταιριάζει σε υπάρχοντες κανόνες, κάθε πακέτο προκαλεί συμβάν packet-in προς τον ελεγκτή. Το κανάλι ελέγχου κορεσμένεται, οι πόροι του ελεγκτή εξαντλούνται και ο πίνακας ροών των μεταγωγέων υπερχειλίζει, με αποτέλεσμα την κατάρρευση της εξυπηρέτησης νόμιμων χρηστών.</w:t>
      </w:r>
    </w:p>
    <w:p>
      <w:pPr>
        <w:pStyle w:val="Heading3"/>
      </w:pPr>
      <w:r>
        <w:t xml:space="preserve">3.1.2 Έγχυση ψευδών κανόνων ροής (Flow Rule Injection)</w:t>
      </w:r>
    </w:p>
    <w:p>
      <w:pPr>
        <w:spacing w:after="140" w:line="300"/>
        <w:jc w:val="both"/>
      </w:pPr>
      <w:r>
        <w:t xml:space="preserve">Αν ο επιτιθέμενος αποκτήσει πρόσβαση στο κανάλι ελέγχου ή σε κακόβουλη εφαρμογή, μπορεί να εγχύσει πλαστούς κανόνες ροής που εκτρέπουν, αντιγράφουν ή απορρίπτουν κίνηση, παραβιάζοντας την πολιτική ασφάλειας.</w:t>
      </w:r>
    </w:p>
    <w:p>
      <w:pPr>
        <w:pStyle w:val="Heading2"/>
      </w:pPr>
      <w:r>
        <w:t xml:space="preserve">3.2 Επιθέσεις στο επίπεδο δεδομένων</w:t>
      </w:r>
    </w:p>
    <w:p>
      <w:pPr>
        <w:pStyle w:val="ListParagraph"/>
        <w:numPr>
          <w:ilvl w:val="0"/>
          <w:numId w:val="2"/>
        </w:numPr>
        <w:spacing w:after="80" w:line="290"/>
      </w:pPr>
      <w:r>
        <w:t xml:space="preserve">Υπερχείλιση πίνακα ροών: εξάντληση της περιορισμένης χωρητικότητας TCAM των μεταγωγέων.</w:t>
      </w:r>
    </w:p>
    <w:p>
      <w:pPr>
        <w:pStyle w:val="ListParagraph"/>
        <w:numPr>
          <w:ilvl w:val="0"/>
          <w:numId w:val="2"/>
        </w:numPr>
        <w:spacing w:after="80" w:line="290"/>
      </w:pPr>
      <w:r>
        <w:t xml:space="preserve">Υποκλοπή πακέτων (eavesdropping): παρακολούθηση μη κρυπτογραφημένης κίνησης.</w:t>
      </w:r>
    </w:p>
    <w:p>
      <w:pPr>
        <w:pStyle w:val="ListParagraph"/>
        <w:numPr>
          <w:ilvl w:val="0"/>
          <w:numId w:val="2"/>
        </w:numPr>
        <w:spacing w:after="80" w:line="290"/>
      </w:pPr>
      <w:r>
        <w:t xml:space="preserve">Πλαστογράφηση (spoofing): χρήση ψευδών διευθύνσεων IP/MAC για παραπλάνηση.</w:t>
      </w:r>
    </w:p>
    <w:p>
      <w:pPr>
        <w:pStyle w:val="Heading2"/>
      </w:pPr>
      <w:r>
        <w:t xml:space="preserve">3.3 Επιθέσεις αναγνώρισης και κλιμάκωσης</w:t>
      </w:r>
    </w:p>
    <w:p>
      <w:pPr>
        <w:spacing w:after="140" w:line="300"/>
        <w:jc w:val="both"/>
      </w:pPr>
      <w:r>
        <w:t xml:space="preserve">Πριν από μια στοχευμένη επίθεση, ο δράστης συχνά εκτελεί σάρωση θυρών (port scanning / probing) για χαρτογράφηση των διαθέσιμων υπηρεσιών, ενώ επιθέσεις ωμής βίας (brute force) επιχειρούν την παραβίαση διαπιστευτηρίων μέσω επαναλαμβανόμενων προσπαθειών σύνδεσης. Αυτές οι κατηγορίες, μαζί με τις DoS/DDoS, αποτελούν τις βασικές ετικέτες ταξινόμησης στα πειράματα της εργασίας.</w:t>
      </w:r>
    </w:p>
    <w:p>
      <w:pPr>
        <w:pStyle w:val="Heading2"/>
      </w:pPr>
      <w:r>
        <w:t xml:space="preserve">3.4 Δηλητηρίαση τοπολογίας</w:t>
      </w:r>
    </w:p>
    <w:p>
      <w:pPr>
        <w:spacing w:after="140" w:line="300"/>
        <w:jc w:val="both"/>
      </w:pPr>
      <w:r>
        <w:t xml:space="preserve">Ειδική κατηγορία αποτελούν οι επιθέσεις δηλητηρίασης τοπολογίας, όπου ο επιτιθέμενος εκμεταλλεύεται τους μηχανισμούς ανακάλυψης συνδέσεων (π.χ. το πρωτόκολλο LLDP) για να πείσει τον ελεγκτή για την ύπαρξη πλαστών ζεύξεων, διαστρεβλώνοντας τη σφαιρική εικόνα του δικτύου και επηρεάζοντας τις αποφάσεις δρομολόγησης.</w:t>
      </w:r>
    </w:p>
    <w:p>
      <w:r>
        <w:br w:type="page"/>
      </w:r>
    </w:p>
    <w:p>
      <w:pPr>
        <w:pStyle w:val="Heading1"/>
      </w:pPr>
      <w:r>
        <w:t xml:space="preserve">4. Μέθοδοι Ανίχνευσης Επιθέσεων</w:t>
      </w:r>
    </w:p>
    <w:p>
      <w:pPr>
        <w:spacing w:after="140" w:line="300"/>
        <w:jc w:val="both"/>
      </w:pPr>
      <w:r>
        <w:t xml:space="preserve">Η ανίχνευση επιθέσεων σε SDN μπορεί να επιτευχθεί με διαφορετικές προσεγγίσεις, καθεμία με τα πλεονεκτήματα και τους περιορισμούς της.</w:t>
      </w:r>
    </w:p>
    <w:p>
      <w:pPr>
        <w:pStyle w:val="Heading2"/>
      </w:pPr>
      <w:r>
        <w:t xml:space="preserve">4.1 Παραδοσιακές μέθοδοι</w:t>
      </w:r>
    </w:p>
    <w:p>
      <w:pPr>
        <w:spacing w:after="140" w:line="300"/>
        <w:jc w:val="both"/>
      </w:pPr>
      <w:r>
        <w:t xml:space="preserve">Οι μέθοδοι βασισμένες σε υπογραφές (signature-based) εντοπίζουν γνωστά μοτίβα επιθέσεων, αλλά αδυνατούν να αναγνωρίσουν νέες, άγνωστες απειλές. Οι μέθοδοι κατωφλίου (threshold-based) σημαίνουν συναγερμό όταν μια μετρική ξεπεράσει ένα προκαθορισμένο όριο· είναι απλές αλλά επιρρεπείς σε ψευδείς συναγερμούς και δύσκολες στη ρύθμιση μέσα στη δυναμική φύση των SDN.</w:t>
      </w:r>
    </w:p>
    <w:p>
      <w:pPr>
        <w:pStyle w:val="Heading2"/>
      </w:pPr>
      <w:r>
        <w:t xml:space="preserve">4.2 Ανίχνευση με Μηχανική Μάθηση</w:t>
      </w:r>
    </w:p>
    <w:p>
      <w:pPr>
        <w:spacing w:after="140" w:line="300"/>
        <w:jc w:val="both"/>
      </w:pPr>
      <w:r>
        <w:t xml:space="preserve">Η Μηχανική Μάθηση προσφέρει ικανότητα γενίκευσης, μαθαίνοντας τη στατιστική υπογραφή της νόμιμης και της κακόβουλης κίνησης από δεδομένα. Στην επιβλεπόμενη μάθηση, ένα μοντέλο εκπαιδεύεται σε επισημασμένα παραδείγματα ροών και κατόπιν ταξινομεί νέες, άγνωστες ροές. Στην παρούσα εργασία αξιολογούνται τα ακόλουθα μοντέλα:</w:t>
      </w:r>
    </w:p>
    <w:p>
      <w:pPr>
        <w:pStyle w:val="ListParagraph"/>
        <w:numPr>
          <w:ilvl w:val="0"/>
          <w:numId w:val="2"/>
        </w:numPr>
        <w:spacing w:after="80" w:line="290"/>
      </w:pPr>
      <w:r>
        <w:t xml:space="preserve">Decision Tree: ερμηνεύσιμο δέντρο αποφάσεων με βάση κατώφλια χαρακτηριστικών.</w:t>
      </w:r>
    </w:p>
    <w:p>
      <w:pPr>
        <w:pStyle w:val="ListParagraph"/>
        <w:numPr>
          <w:ilvl w:val="0"/>
          <w:numId w:val="2"/>
        </w:numPr>
        <w:spacing w:after="80" w:line="290"/>
      </w:pPr>
      <w:r>
        <w:t xml:space="preserve">Random Forest: σύνολο πολλών δέντρων που μειώνει την υπερπροσαρμογή και αποδίδει σταθερά υψηλά.</w:t>
      </w:r>
    </w:p>
    <w:p>
      <w:pPr>
        <w:pStyle w:val="ListParagraph"/>
        <w:numPr>
          <w:ilvl w:val="0"/>
          <w:numId w:val="2"/>
        </w:numPr>
        <w:spacing w:after="80" w:line="290"/>
      </w:pPr>
      <w:r>
        <w:t xml:space="preserve">Support Vector Machine (SVM): εύρεση βέλτιστου διαχωριστικού υπερεπιπέδου.</w:t>
      </w:r>
    </w:p>
    <w:p>
      <w:pPr>
        <w:pStyle w:val="ListParagraph"/>
        <w:numPr>
          <w:ilvl w:val="0"/>
          <w:numId w:val="2"/>
        </w:numPr>
        <w:spacing w:after="80" w:line="290"/>
      </w:pPr>
      <w:r>
        <w:t xml:space="preserve">K-Nearest Neighbors (KNN): ταξινόμηση βάσει εγγύτητας στον χώρο χαρακτηριστικών.</w:t>
      </w:r>
    </w:p>
    <w:p>
      <w:pPr>
        <w:pStyle w:val="ListParagraph"/>
        <w:numPr>
          <w:ilvl w:val="0"/>
          <w:numId w:val="2"/>
        </w:numPr>
        <w:spacing w:after="80" w:line="290"/>
      </w:pPr>
      <w:r>
        <w:t xml:space="preserve">Logistic Regression: γραμμικό μοντέλο αναφοράς (baseline).</w:t>
      </w:r>
    </w:p>
    <w:p>
      <w:pPr>
        <w:pStyle w:val="ListParagraph"/>
        <w:numPr>
          <w:ilvl w:val="0"/>
          <w:numId w:val="2"/>
        </w:numPr>
        <w:spacing w:after="80" w:line="290"/>
      </w:pPr>
      <w:r>
        <w:t xml:space="preserve">Νευρωνικά δίκτυα (MLP) και Βαθιά Μάθηση (1D-CNN): μη γραμμικά μοντέλα ικανά να μάθουν σύνθετα μοτίβα.</w:t>
      </w:r>
    </w:p>
    <w:p>
      <w:pPr>
        <w:pStyle w:val="Heading2"/>
      </w:pPr>
      <w:r>
        <w:t xml:space="preserve">4.3 Χαρακτηριστικά ροής</w:t>
      </w:r>
    </w:p>
    <w:p>
      <w:pPr>
        <w:spacing w:after="140" w:line="300"/>
        <w:jc w:val="both"/>
      </w:pPr>
      <w:r>
        <w:t xml:space="preserve">Η ποιότητα της ανίχνευσης εξαρτάται κρίσιμα από τα χαρακτηριστικά (features) που εξάγονται από κάθε ροή. Εργαλεία όπως το CICFlowMeter υπολογίζουν δεκάδες στατιστικά: διάρκεια ροής, αριθμό και μέγεθος πακέτων ανά κατεύθυνση, ρυθμό πακέτων και bytes ανά δευτερόλεπτο, χρόνους μεταξύ αφίξεων (inter-arrival times) και πλήθος σημαιών TCP. Στο ζωντανό σύστημα, όπου διαθέσιμα είναι μόνο τα στατιστικά του OpenFlow, χρησιμοποιούνται συγκεντρωτικά (aggregate) χαρακτηριστικά ανά πηγή.</w:t>
      </w:r>
    </w:p>
    <w:p>
      <w:pPr>
        <w:pStyle w:val="Heading2"/>
      </w:pPr>
      <w:r>
        <w:t xml:space="preserve">4.4 Σύνολα δεδομένων</w:t>
      </w:r>
    </w:p>
    <w:p>
      <w:pPr>
        <w:spacing w:after="140" w:line="300"/>
        <w:jc w:val="both"/>
      </w:pPr>
      <w:r>
        <w:t xml:space="preserve">Για την εκπαίδευση και αξιολόγηση χρησιμοποιούνται δημόσια σύνολα δεδομένων. Το InSDN είναι ειδικά σχεδιασμένο για περιβάλλοντα SDN και περιλαμβάνει νόμιμη κίνηση και πολλαπλές κατηγορίες επιθέσεων. Άλλα σχετικά σύνολα είναι τα CICDDoS2019 και NSL-KDD. Συμπληρωματικά, η εργασία παράγει δικά της δεδομένα μέσω προσομοίωσης στο Mininet, συλλέγοντας στατιστικά ροών κατά την εκτέλεση νόμιμων και κακόβουλων σεναρίων.</w:t>
      </w:r>
    </w:p>
    <w:p>
      <w:pPr>
        <w:pStyle w:val="Heading2"/>
      </w:pPr>
      <w:r>
        <w:t xml:space="preserve">4.5 Μετρικές αξιολόγησης</w:t>
      </w:r>
    </w:p>
    <w:p>
      <w:pPr>
        <w:spacing w:after="140" w:line="300"/>
        <w:jc w:val="both"/>
      </w:pPr>
      <w:r>
        <w:t xml:space="preserve">Η απόδοση των μοντέλων αποτιμάται με τις καθιερωμένες μετρικές ταξινόμησης. Λόγω της ανισορροπίας μεταξύ νόμιμης και κακόβουλης κίνησης, δίνεται έμφαση στο F1-score και όχι μόνο στην ακρίβεια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Μετρική</w:t>
            </w:r>
          </w:p>
        </w:tc>
        <w:tc>
          <w:tcPr>
            <w:tcW w:type="dxa" w:w="6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Περιγραφή</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Accuracy</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Ποσοστό συνολικά ορθών προβλέψεων.</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Precision</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Από όσες ροές χαρακτηρίστηκαν ως επίθεση, πόσες ήταν όντως επίθεση.</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Recall</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Από όλες τις πραγματικές επιθέσεις, πόσες εντοπίστηκαν.</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F1-score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Αρμονικός μέσος precision και recall· κατάλληλο για ανισόρροπα δεδομένα.</w:t>
            </w:r>
          </w:p>
        </w:tc>
      </w:tr>
    </w:tbl>
    <w:p>
      <w:pPr>
        <w:spacing w:after="200" w:before="120"/>
      </w:pPr>
      <w:r>
        <w:rPr>
          <w:i/>
          <w:iCs/>
          <w:color w:val="808080"/>
          <w:sz w:val="18"/>
          <w:szCs w:val="18"/>
        </w:rPr>
        <w:t xml:space="preserve">Πίνακας 4.1: Μετρικές αξιολόγησης της ανίχνευσης.</w:t>
      </w:r>
    </w:p>
    <w:p>
      <w:pPr>
        <w:pStyle w:val="Heading2"/>
      </w:pPr>
      <w:r>
        <w:t xml:space="preserve">4.6 Αντιμετώπιση (Mitigation)</w:t>
      </w:r>
    </w:p>
    <w:p>
      <w:pPr>
        <w:spacing w:after="140" w:line="300"/>
        <w:jc w:val="both"/>
      </w:pPr>
      <w:r>
        <w:t xml:space="preserve">Η ανίχνευση από μόνη της δεν επαρκεί· το σύστημα πρέπει να αντιδρά. Στην προτεινόμενη υλοποίηση, μόλις ο ελεγκτής ανιχνεύσει επίθεση από κάποια πηγή, εγκαθιστά δυναμικά έναν κανόνα ροής υψηλής προτεραιότητας που απορρίπτει (drop) την κίνηση από αυτή την πηγή για συγκεκριμένο χρονικό διάστημα. Έτσι αξιοποιείται ακριβώς το πλεονέκτημα της προγραμματισιμότητας των SDN: η ίδια η αρχιτεκτονική που εισάγει την ευπάθεια προσφέρει και τον μηχανισμό άμυνας.</w:t>
      </w:r>
    </w:p>
    <w:p>
      <w:pPr>
        <w:spacing w:before="400"/>
        <w:jc w:val="center"/>
      </w:pPr>
      <w:r>
        <w:rPr>
          <w:i/>
          <w:iCs/>
          <w:color w:val="808080"/>
        </w:rPr>
        <w:t xml:space="preserve">— Τέλος θεωρητικού μέρους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Σελίδα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Ανίχνευση &amp; Αντιμετώπιση Επιθέσεων σε SDN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2026-06-11T09:14:38.710Z</dcterms:created>
  <dcterms:modified xsi:type="dcterms:W3CDTF">2026-06-11T09:14:38.711Z</dcterms:modified>
</cp:coreProperties>
</file>

<file path=docProps/custom.xml><?xml version="1.0" encoding="utf-8"?>
<Properties xmlns="http://schemas.openxmlformats.org/officeDocument/2006/custom-properties" xmlns:vt="http://schemas.openxmlformats.org/officeDocument/2006/docPropsVTypes"/>
</file>