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spacing w:line="240" w:lineRule="auto" w:after="80"/>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ADBB949" w14:textId="77777777" w:rsidR="009E7704" w:rsidRPr="00394963" w:rsidRDefault="00AD61C4">
      <w:pPr>
        <w:spacing w:line="240" w:lineRule="auto" w:after="80"/>
        <w:rPr>
          <w:lang w:val="el-GR"/>
        </w:rPr>
      </w:pPr>
      <w:r w:rsidRPr="00394963">
        <w:rPr>
          <w:lang w:val="el-GR"/>
        </w:rPr>
        <w:t>Η παρούσα διπλωματική σχεδιάζει, υλοποιεί και αξιολογεί ένα ολοκληρωμένο ερευνητικό prototype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A5FEAFA" w14:textId="77777777" w:rsidR="009E7704" w:rsidRPr="00394963" w:rsidRDefault="00AD61C4">
      <w:pPr>
        <w:spacing w:line="240" w:lineRule="auto" w:after="80"/>
        <w:rPr>
          <w:lang w:val="el-GR"/>
        </w:rPr>
      </w:pPr>
      <w:r w:rsidRPr="00394963">
        <w:rPr>
          <w:lang w:val="el-GR"/>
        </w:rPr>
        <w:t>Στο offline σκέλος, το Random Forest επιτυγχάνει F1-score άνω του 0,999 στο συνθετικό σύνολο και 0,946 (μακρο-F1, group-aware)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pPr>
        <w:spacing w:line="240" w:lineRule="auto" w:after="80"/>
      </w:pPr>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can make a non-redundant controller a single point of failure and a prime target for denial-of-service attacks.</w:t>
      </w:r>
      <w:proofErr w:type="spellStart"/>
      <w:r/>
      <w:proofErr w:type="spellEnd"/>
      <w:r/>
      <w:proofErr w:type="spellStart"/>
      <w:r/>
      <w:proofErr w:type="spellEnd"/>
      <w:r/>
    </w:p>
    <w:p w14:paraId="0151A0FD" w14:textId="77777777" w:rsidR="009E7704" w:rsidRDefault="00AD61C4">
      <w:pPr>
        <w:spacing w:line="240" w:lineRule="auto" w:after="80"/>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spacing w:line="240" w:lineRule="auto" w:after="80"/>
        <w:rPr>
          <w:lang w:val="en-GB"/>
        </w:rPr>
      </w:pPr>
      <w:r>
        <w:t>In the offline part, Random Forest achieves an F1-score above 0.999 on the synthetic dataset and 0.946 (macro-F1, group-aware)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roofErr w:type="spellStart"/>
      <w:r/>
      <w:proofErr w:type="spellEnd"/>
      <w:r/>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(single point of failure): αν τεθεί εκτός λειτουργίας ή κορεστεί, η λειτουργία του δικτύου διακυβεύεται. Στην πράξη οι κατανεμημένες ή replicated αναπτύξεις ελεγκτή μετριάζουν τον κίνδυνο αυτόν, όμως η επιφάνεια επίθεσης προς το επίπεδο ελέγχου παραμένει. Επιπλέον, το κανάλι ελέγχου (control channel)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SDN αναδεικνύεται, επομένως, σε ζήτημα υψίστης σημασίας για την αξιοπιστία ολόκληρης της υποδομής.</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(signature-based IDS), παρουσιάζουν δύο βασικούς περιορισμούς: αφενός τυπικά δυσκολεύονται να ανιχνεύσουν άγνωστες (zero-day) επιθέσεις για τις οποίες δεν υπάρχει ακόμη υπογραφή, και αφετέρου συχνά εισάγουν καθυστέρηση, καθώς βασίζονται σε επιθεώρηση κάθε πακέτου. Η προσέγγιση βάσει ανωμαλίας δεν αναιρεί αυτούς τους περιορισμούς, αλλά τους αντισταθμίζει μερικώς, με το δικό της κόστος σε ψευδώς θετικά. Σε ένα περιβάλλον όπου ο ελεγκτής μπορεί να κορεστεί μέσα σε δευτερόλεπτα, η καθυστέρηση αυτή είναι κρίσιμη.</w:t>
      </w:r>
      <w:r>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bytes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δύο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r/>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Packet-In θέτει άνω όριο στη χωρητικότητα. Η αξιοπιστία (dependability)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Benzekki κ.ά. [5] εντοπίζουν αυτές τις τρεις προκλήσεις ως τις κυριότερες που πρέπει να αντιμετωπίσει η ώριμη υιοθέτηση των SDN.</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3D12BF4F" w14:textId="77777777" w:rsidR="009E7704" w:rsidRDefault="00AD61C4">
      <w:pPr>
        <w:rPr>
          <w:lang w:val="el-GR"/>
        </w:rPr>
      </w:pPr>
      <w:r w:rsidRPr="00394963">
        <w:rPr>
          <w:lang w:val="el-GR"/>
        </w:rPr>
        <w:t>Είναι σημαντικό να διακρίνεται η λογική από τη φυσική κεντρικοποίηση. Η αρχιτεκτονική SDN κεντρικοποιεί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OpenDaylight υλοποιούν κατανεμημένα συμπλέγματα (clusters)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r/>
      <w:r w:rsidRPr="00394963">
        <w:rPr>
          <w:lang w:val="el-GR"/>
        </w:rPr>
      </w:r>
      <w:r/>
      <w:r w:rsidRPr="00394963">
        <w:rPr>
          <w:lang w:val="el-GR"/>
        </w:rPr>
      </w:r>
      <w:r/>
      <w:r w:rsidRPr="00394963">
        <w:rPr>
          <w:lang w:val="el-GR"/>
        </w:rPr>
      </w:r>
      <w:proofErr w:type="spellStart"/>
      <w:r/>
      <w:proofErr w:type="spellEnd"/>
      <w:r w:rsidRPr="00394963">
        <w:rPr>
          <w:lang w:val="el-GR"/>
        </w:rPr>
      </w:r>
      <w:r/>
      <w:r w:rsidRPr="00394963">
        <w:rPr>
          <w:lang w:val="el-GR"/>
        </w:rPr>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pPr/>
      <w:r>
        <w:rPr>
          <w:b w:val="0"/>
          <w:i w:val="0"/>
        </w:rPr>
        <w:t>Πριν από την ταξινόμηση, οι εξεταζόμενες απειλές συνοψίζονται σε ένα τυπικό μοντέλο απειλών (threat model), το οποίο για κάθε κατηγορία επίθεσης προσδιορίζει ρητά την ικανότητα του επιτιθέμενου, το προστατευόμενο αγαθό (asset), το σημείο εισόδου, τη βασική παραδοχή και τον αντίκτυπο. Το μοντέλο αυτό οριοθετεί τι καλύπτει και τι δεν καλύπτει η προτεινόμενη άμυνα.</w:t>
      </w:r>
    </w:p>
    <w:p>
      <w:pPr>
        <w:pStyle w:val="af0"/>
        <w:jc w:val="center"/>
      </w:pPr>
      <w:r>
        <w:rPr>
          <w:b w:val="0"/>
          <w:i/>
          <w:sz w:val="20"/>
        </w:rPr>
        <w:t>Πίνακας 3-1: Τυπικό μοντέλο απειλών των εξεταζόμενων επιθέσεων.</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6"/>
              </w:rPr>
              <w:t>Ικανότητα επιτιθέμενου</w:t>
            </w:r>
          </w:p>
        </w:tc>
        <w:tc>
          <w:tcPr>
            <w:tcW w:type="dxa" w:w="1758"/>
          </w:tcPr>
          <w:p>
            <w:r/>
            <w:r>
              <w:rPr>
                <w:b/>
                <w:sz w:val="16"/>
              </w:rPr>
              <w:t>Αγαθό (asset)</w:t>
            </w:r>
          </w:p>
        </w:tc>
        <w:tc>
          <w:tcPr>
            <w:tcW w:type="dxa" w:w="1758"/>
          </w:tcPr>
          <w:p>
            <w:r/>
            <w:r>
              <w:rPr>
                <w:b/>
                <w:sz w:val="16"/>
              </w:rPr>
              <w:t>Σημείο εισόδου</w:t>
            </w:r>
          </w:p>
        </w:tc>
        <w:tc>
          <w:tcPr>
            <w:tcW w:type="dxa" w:w="1758"/>
          </w:tcPr>
          <w:p>
            <w:r/>
            <w:r>
              <w:rPr>
                <w:b/>
                <w:sz w:val="16"/>
              </w:rPr>
              <w:t>Παραδοχή</w:t>
            </w:r>
          </w:p>
        </w:tc>
        <w:tc>
          <w:tcPr>
            <w:tcW w:type="dxa" w:w="1758"/>
          </w:tcPr>
          <w:p>
            <w:r/>
            <w:r>
              <w:rPr>
                <w:b/>
                <w:sz w:val="16"/>
              </w:rPr>
              <w:t>Αντίκτυπος</w:t>
            </w:r>
          </w:p>
        </w:tc>
      </w:tr>
      <w:tr>
        <w:tc>
          <w:tcPr>
            <w:tcW w:type="dxa" w:w="1758"/>
          </w:tcPr>
          <w:p>
            <w:r/>
            <w:r>
              <w:rPr>
                <w:sz w:val="16"/>
              </w:rPr>
              <w:t>Εξωτερικός host υψηλού ρυθμού (DDoS/SYN flood)</w:t>
            </w:r>
          </w:p>
        </w:tc>
        <w:tc>
          <w:tcPr>
            <w:tcW w:type="dxa" w:w="1758"/>
          </w:tcPr>
          <w:p>
            <w:r/>
            <w:r>
              <w:rPr>
                <w:sz w:val="16"/>
              </w:rPr>
              <w:t>Διαθεσιμότητα θύματος και ελεγκτή</w:t>
            </w:r>
          </w:p>
        </w:tc>
        <w:tc>
          <w:tcPr>
            <w:tcW w:type="dxa" w:w="1758"/>
          </w:tcPr>
          <w:p>
            <w:r/>
            <w:r>
              <w:rPr>
                <w:sz w:val="16"/>
              </w:rPr>
              <w:t>Επίπεδο δεδομένων (νόμιμος host)</w:t>
            </w:r>
          </w:p>
        </w:tc>
        <w:tc>
          <w:tcPr>
            <w:tcW w:type="dxa" w:w="1758"/>
          </w:tcPr>
          <w:p>
            <w:r/>
            <w:r>
              <w:rPr>
                <w:sz w:val="16"/>
              </w:rPr>
              <w:t>Δεν κατέχει διαπιστευτήρια διαχείρισης</w:t>
            </w:r>
          </w:p>
        </w:tc>
        <w:tc>
          <w:tcPr>
            <w:tcW w:type="dxa" w:w="1758"/>
          </w:tcPr>
          <w:p>
            <w:r/>
            <w:r>
              <w:rPr>
                <w:sz w:val="16"/>
              </w:rPr>
              <w:t>Άρνηση εξυπηρέτησης, κορεσμός πόρων</w:t>
            </w:r>
          </w:p>
        </w:tc>
      </w:tr>
      <w:tr>
        <w:tc>
          <w:tcPr>
            <w:tcW w:type="dxa" w:w="1758"/>
          </w:tcPr>
          <w:p>
            <w:r/>
            <w:r>
              <w:rPr>
                <w:sz w:val="16"/>
              </w:rPr>
              <w:t>Επιτιθέμενος που παράγει πλήθος άγνωστων ροών (table-miss flooding)</w:t>
            </w:r>
          </w:p>
        </w:tc>
        <w:tc>
          <w:tcPr>
            <w:tcW w:type="dxa" w:w="1758"/>
          </w:tcPr>
          <w:p>
            <w:r/>
            <w:r>
              <w:rPr>
                <w:sz w:val="16"/>
              </w:rPr>
              <w:t>Πίνακας ροών και κανάλι ελέγχου</w:t>
            </w:r>
          </w:p>
        </w:tc>
        <w:tc>
          <w:tcPr>
            <w:tcW w:type="dxa" w:w="1758"/>
          </w:tcPr>
          <w:p>
            <w:r/>
            <w:r>
              <w:rPr>
                <w:sz w:val="16"/>
              </w:rPr>
              <w:t>Επίπεδο δεδομένων</w:t>
            </w:r>
          </w:p>
        </w:tc>
        <w:tc>
          <w:tcPr>
            <w:tcW w:type="dxa" w:w="1758"/>
          </w:tcPr>
          <w:p>
            <w:r/>
            <w:r>
              <w:rPr>
                <w:sz w:val="16"/>
              </w:rPr>
              <w:t>Κάθε άγνωστη ροή προκαλεί Packet-In</w:t>
            </w:r>
          </w:p>
        </w:tc>
        <w:tc>
          <w:tcPr>
            <w:tcW w:type="dxa" w:w="1758"/>
          </w:tcPr>
          <w:p>
            <w:r/>
            <w:r>
              <w:rPr>
                <w:sz w:val="16"/>
              </w:rPr>
              <w:t>Κορεσμός ελεγκτή, καθυστέρηση</w:t>
            </w:r>
          </w:p>
        </w:tc>
      </w:tr>
      <w:tr>
        <w:tc>
          <w:tcPr>
            <w:tcW w:type="dxa" w:w="1758"/>
          </w:tcPr>
          <w:p>
            <w:r/>
            <w:r>
              <w:rPr>
                <w:sz w:val="16"/>
              </w:rPr>
              <w:t>Κακόβουλος/παραβιασμένος host στο ίδιο LAN (ARP spoof/MITM)</w:t>
            </w:r>
          </w:p>
        </w:tc>
        <w:tc>
          <w:tcPr>
            <w:tcW w:type="dxa" w:w="1758"/>
          </w:tcPr>
          <w:p>
            <w:r/>
            <w:r>
              <w:rPr>
                <w:sz w:val="16"/>
              </w:rPr>
              <w:t>Ακεραιότητα κίνησης θύματος</w:t>
            </w:r>
          </w:p>
        </w:tc>
        <w:tc>
          <w:tcPr>
            <w:tcW w:type="dxa" w:w="1758"/>
          </w:tcPr>
          <w:p>
            <w:r/>
            <w:r>
              <w:rPr>
                <w:sz w:val="16"/>
              </w:rPr>
              <w:t>Επίπεδο δεδομένων (L2)</w:t>
            </w:r>
          </w:p>
        </w:tc>
        <w:tc>
          <w:tcPr>
            <w:tcW w:type="dxa" w:w="1758"/>
          </w:tcPr>
          <w:p>
            <w:r/>
            <w:r>
              <w:rPr>
                <w:sz w:val="16"/>
              </w:rPr>
              <w:t>Καμία αυθεντικοποίηση IP προς MAC</w:t>
            </w:r>
          </w:p>
        </w:tc>
        <w:tc>
          <w:tcPr>
            <w:tcW w:type="dxa" w:w="1758"/>
          </w:tcPr>
          <w:p>
            <w:r/>
            <w:r>
              <w:rPr>
                <w:sz w:val="16"/>
              </w:rPr>
              <w:t>Υποκλοπή/αλλοίωση, χωρίς έντονο στατιστικό αποτύπωμα</w:t>
            </w:r>
          </w:p>
        </w:tc>
      </w:tr>
      <w:tr>
        <w:tc>
          <w:tcPr>
            <w:tcW w:type="dxa" w:w="1758"/>
          </w:tcPr>
          <w:p>
            <w:r/>
            <w:r>
              <w:rPr>
                <w:sz w:val="16"/>
              </w:rPr>
              <w:t>Επιτιθέμενος που πλαστογραφεί τηλεμετρία (flow-injection)</w:t>
            </w:r>
          </w:p>
        </w:tc>
        <w:tc>
          <w:tcPr>
            <w:tcW w:type="dxa" w:w="1758"/>
          </w:tcPr>
          <w:p>
            <w:r/>
            <w:r>
              <w:rPr>
                <w:sz w:val="16"/>
              </w:rPr>
              <w:t>Ακεραιότητα διαδικασίας απόφασης</w:t>
            </w:r>
          </w:p>
        </w:tc>
        <w:tc>
          <w:tcPr>
            <w:tcW w:type="dxa" w:w="1758"/>
          </w:tcPr>
          <w:p>
            <w:r/>
            <w:r>
              <w:rPr>
                <w:sz w:val="16"/>
              </w:rPr>
              <w:t>Southbound διεπαφή του ελεγκτή</w:t>
            </w:r>
          </w:p>
        </w:tc>
        <w:tc>
          <w:tcPr>
            <w:tcW w:type="dxa" w:w="1758"/>
          </w:tcPr>
          <w:p>
            <w:r/>
            <w:r>
              <w:rPr>
                <w:sz w:val="16"/>
              </w:rPr>
              <w:t>Χωρίς αυθεντικοποίηση, ο ελεγκτής θα εμπιστευόταν την τηλεμετρία</w:t>
            </w:r>
          </w:p>
        </w:tc>
        <w:tc>
          <w:tcPr>
            <w:tcW w:type="dxa" w:w="1758"/>
          </w:tcPr>
          <w:p>
            <w:r/>
            <w:r>
              <w:rPr>
                <w:sz w:val="16"/>
              </w:rPr>
              <w:t>Ενοχοποίηση νόμιμου host, εσφαλμένος αποκλεισμός</w:t>
            </w:r>
          </w:p>
        </w:tc>
      </w:tr>
      <w:tr>
        <w:tc>
          <w:tcPr>
            <w:tcW w:type="dxa" w:w="1758"/>
          </w:tcPr>
          <w:p>
            <w:r/>
            <w:r>
              <w:rPr>
                <w:sz w:val="16"/>
              </w:rPr>
              <w:t>Παραβιασμένη εφαρμογή (εσωτερική απειλή)</w:t>
            </w:r>
          </w:p>
        </w:tc>
        <w:tc>
          <w:tcPr>
            <w:tcW w:type="dxa" w:w="1758"/>
          </w:tcPr>
          <w:p>
            <w:r/>
            <w:r>
              <w:rPr>
                <w:sz w:val="16"/>
              </w:rPr>
              <w:t>Πολιτική ελέγχου του δικτύου</w:t>
            </w:r>
          </w:p>
        </w:tc>
        <w:tc>
          <w:tcPr>
            <w:tcW w:type="dxa" w:w="1758"/>
          </w:tcPr>
          <w:p>
            <w:r/>
            <w:r>
              <w:rPr>
                <w:sz w:val="16"/>
              </w:rPr>
              <w:t>Northbound διεπαφή</w:t>
            </w:r>
          </w:p>
        </w:tc>
        <w:tc>
          <w:tcPr>
            <w:tcW w:type="dxa" w:w="1758"/>
          </w:tcPr>
          <w:p>
            <w:r/>
            <w:r>
              <w:rPr>
                <w:sz w:val="16"/>
              </w:rPr>
              <w:t>Η εφαρμογή έχει νόμιμη πρόσβαση στη βόρεια διεπαφή</w:t>
            </w:r>
          </w:p>
        </w:tc>
        <w:tc>
          <w:tcPr>
            <w:tcW w:type="dxa" w:w="1758"/>
          </w:tcPr>
          <w:p>
            <w:r/>
            <w:r>
              <w:rPr>
                <w:sz w:val="16"/>
              </w:rPr>
              <w:t>Καθολικός έλεγχος του δικτύου</w:t>
            </w:r>
          </w:p>
        </w:tc>
      </w:tr>
      <w:tr>
        <w:tc>
          <w:tcPr>
            <w:tcW w:type="dxa" w:w="1758"/>
          </w:tcPr>
          <w:p>
            <w:r/>
            <w:r>
              <w:rPr>
                <w:sz w:val="16"/>
              </w:rPr>
              <w:t>Επιτιθέμενος αναγνώρισης (σάρωση/πλευρική κίνηση)</w:t>
            </w:r>
          </w:p>
        </w:tc>
        <w:tc>
          <w:tcPr>
            <w:tcW w:type="dxa" w:w="1758"/>
          </w:tcPr>
          <w:p>
            <w:r/>
            <w:r>
              <w:rPr>
                <w:sz w:val="16"/>
              </w:rPr>
              <w:t>Εμπιστευτικότητα τοπολογίας/υπηρεσιών</w:t>
            </w:r>
          </w:p>
        </w:tc>
        <w:tc>
          <w:tcPr>
            <w:tcW w:type="dxa" w:w="1758"/>
          </w:tcPr>
          <w:p>
            <w:r/>
            <w:r>
              <w:rPr>
                <w:sz w:val="16"/>
              </w:rPr>
              <w:t>Επίπεδο δεδομένων</w:t>
            </w:r>
          </w:p>
        </w:tc>
        <w:tc>
          <w:tcPr>
            <w:tcW w:type="dxa" w:w="1758"/>
          </w:tcPr>
          <w:p>
            <w:r/>
            <w:r>
              <w:rPr>
                <w:sz w:val="16"/>
              </w:rPr>
              <w:t>Χαμηλού όγκου, διακριτική δραστηριότητα</w:t>
            </w:r>
          </w:p>
        </w:tc>
        <w:tc>
          <w:tcPr>
            <w:tcW w:type="dxa" w:w="1758"/>
          </w:tcPr>
          <w:p>
            <w:r/>
            <w:r>
              <w:rPr>
                <w:sz w:val="16"/>
              </w:rPr>
              <w:t>Χαρτογράφηση δικτύου, προετοιμασία επόμενου σταδίου</w:t>
            </w:r>
          </w:p>
        </w:tc>
      </w:tr>
    </w:tbl>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3-2: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Η επισκόπηση των Sultana κ.ά. [9] κατηγοριοποιεί τις προσεγγίσεις ML-based IDS σε SDN και επισημαίνει τόσο την υψηλή ακρίβεια των μεθόδων όσο και τα ανοιχτά ζητήματα 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[28], [29]. Οι Scott-Hayward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Shin &amp; Gu [12] ήταν από τους πρώτους που κατέδειξαν πειραματικά τη σκοπιμότητα επιθέσεων στο control plane, ενώ οι Elsayed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Hamarshe κ.ά. [24] συγκρίνουν κλασικά μοντέλα (Random Forest, Decision Tree, SVM, XGBoost) για ανίχνευση DDoS σε SDN, ενώ οι Jafari Gohari κ.ά. [25] προτείνουν ένα σύστημα ανίχνευσης βασισμένο σε Convolutional Tsetlin Machine για επιθέσεις DDoS σε περιβάλλον SDN, δείχνοντας τη συνεχιζόμενη διερεύνηση τόσο κλασικών όσο και νέων μοντέλων στο ίδιο πρόβλημα.</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(Mode B) που αξιοποιεί πλήρη ελεγκτή OpenFlow,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ovs-ofctl ή μέσω μιας πλήρους σύνδεσης OpenFlow. Η διάκριση αυτή είναι σημαντική για τη μελλοντική μετάβαση σε πλήρες αντιδραστικό μοντέλο, όπως συζητείται στο Κεφάλαιο 7. Επισημαίνεται ότι το προφίλ Mode B παρέχεται ως δομική δυνατότητα και δεν αξιολογήθηκε πειραματικά στην παρούσα εργασία: όλες οι packet-level μετρήσεις που παρουσιάζονται προέρχονται από την κύρια, υβριδική διαδρομή (ovs-ofctl). Η πλήρης πειραματική επικύρωση της διαδρομής OpenFlow παραμένει μελλοντική εργασία.</w:t>
      </w:r>
      <w:r/>
      <w:r w:rsidRPr="00394963">
        <w:rPr>
          <w:lang w:val="el-GR"/>
        </w:rPr>
      </w:r>
      <w:r/>
      <w:r w:rsidRPr="00394963">
        <w:rPr>
          <w:lang w:val="el-GR"/>
        </w:rPr>
      </w:r>
      <w:r/>
      <w:r w:rsidRPr="00394963">
        <w:rPr>
          <w:lang w:val="el-GR"/>
        </w:rPr>
      </w:r>
      <w:proofErr w:type="spellStart"/>
      <w:r/>
      <w:proofErr w:type="spellEnd"/>
      <w:r w:rsidRPr="00394963">
        <w:rPr>
          <w:lang w:val="el-GR"/>
        </w:rPr>
      </w:r>
      <w:proofErr w:type="spellStart"/>
      <w:r/>
      <w:proofErr w:type="spellEnd"/>
      <w:r w:rsidRPr="00394963">
        <w:rPr>
          <w:lang w:val="el-GR"/>
        </w:rPr>
      </w:r>
      <w:r/>
      <w:r w:rsidRPr="00394963">
        <w:rPr>
          <w:lang w:val="el-GR"/>
        </w:rPr>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δύο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(lease)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lease πριν αυτό λήξει. Έτσι η αντιμετώπιση καλύπτει ολόκληρη τη διάρκεια της επίθεσης και όχι μόνο το πρώτο TTL. Όταν η κακόβουλη κίνηση σταματήσει, το lease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5F0056D9"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(group-aware), όπου τα διανύσματα ομαδοποιούνται ώστε κανένα ακριβές αντίγραφο να μην εμφανίζεται και στα δύο σύνολα. Υπό τον group-aware διαχωρισμό, το Random Forest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group-aware διαχωρισμούς (το πλήρες pipeline του Πίνακα 6-6β και η ξεχωριστή μελέτη διαρροής, leakage_split_comparison.csv): όλα τα μοντέλα δίνουν σχεδόν ταυτόσημες τιμές στα δύο πρωτόκολλα (Random Forest 0,946 και 0,947, Decision Tree 0,941 και 0,943), με μία εξαίρεση. Ο KNN είναι ο μόνος ασταθής: το μακρο-F1 του κυμαίνεται από 0,95 έως 0,77 ανάλογα με το ποιες ομάδες διπλότυπων βρίσκονται στο train, καθώς εξαρτάται άμεσα από τη σύνθεση των k πλησιέστερων γειτόνων σε δεδομένα με πολλά διπλότυπα. Η αστάθεια αυτή ενισχύει περαιτέρω την προτίμηση του Random Forest, που παραμένει σταθερό και στα δύο πρωτόκολλα. Αντίθετα, τα ασθενέστερα μοντέλα καταρρέουν σταθερά υπό τον group-aware διαχωρισμό (SVM 0,656, MLP 0,745, έναντι 0,832 και 0,931 σε τυχαίο διαχωρισμό), γεγονός που αποκαλύπτει ότι η φαινομενικά υψηλή τους επίδοση οφειλόταν στην απομνημόνευση διπλότυπων και όχι σε γενίκευση. Τα αποτελέσματα ερμηνεύονται ως ένδειξη συμβατότητας του pipeline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 υπό τυχαίο διαχωρισμό (με διαρροή ακριβών διπλότυπων).</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pPr>
        <w:pStyle w:val="af0"/>
      </w:pPr>
      <w:r>
        <w:t>Πίνακας 6-6β: Οι ίδιες μετρικές στο InSDN υπό group-aware (leakage-resistant) διαχωρισμό. Παράγεται από το τρέχον pipeline: python3 ml_pipeline/train.py --insdn (results/model_comparison_insdn.csv). Ο KNN (*) είναι ασταθής υπό group-aware διαχωρισμό: ανεξάρτητος έλεγχος (leakage_split_comparison.csv) δίνει μακρο-F1 0,773, ενώ το Random Forest παραμένει σταθερό (0,946–0,947) και στα δύο πρωτόκολλα.</w:t>
      </w:r>
    </w:p>
    <w:tbl>
      <w:tblPr>
        <w:tblStyle w:val="-41"/>
        <w:tblW w:type="auto" w:w="0"/>
        <w:tblLook w:firstColumn="1" w:firstRow="1" w:lastColumn="0" w:lastRow="0" w:noHBand="0" w:noVBand="1" w:val="04A0"/>
      </w:tblPr>
      <w:tblGrid>
        <w:gridCol w:w="1758"/>
        <w:gridCol w:w="1758"/>
        <w:gridCol w:w="1758"/>
        <w:gridCol w:w="1758"/>
        <w:gridCol w:w="1758"/>
      </w:tblGrid>
      <w:tr>
        <w:tc>
          <w:tcPr>
            <w:tcW w:type="dxa" w:w="1758"/>
          </w:tcPr>
          <w:p>
            <w:r>
              <w:t>Μοντέλο</w:t>
            </w:r>
          </w:p>
        </w:tc>
        <w:tc>
          <w:tcPr>
            <w:tcW w:type="dxa" w:w="1758"/>
          </w:tcPr>
          <w:p>
            <w:r>
              <w:t>Accuracy</w:t>
            </w:r>
          </w:p>
        </w:tc>
        <w:tc>
          <w:tcPr>
            <w:tcW w:type="dxa" w:w="1758"/>
          </w:tcPr>
          <w:p>
            <w:r>
              <w:t>Precision</w:t>
            </w:r>
          </w:p>
        </w:tc>
        <w:tc>
          <w:tcPr>
            <w:tcW w:type="dxa" w:w="1758"/>
          </w:tcPr>
          <w:p>
            <w:r>
              <w:t>Recall</w:t>
            </w:r>
          </w:p>
        </w:tc>
        <w:tc>
          <w:tcPr>
            <w:tcW w:type="dxa" w:w="1758"/>
          </w:tcPr>
          <w:p>
            <w:r>
              <w:t>F1</w:t>
            </w:r>
          </w:p>
        </w:tc>
      </w:tr>
      <w:tr>
        <w:tc>
          <w:tcPr>
            <w:tcW w:type="dxa" w:w="1758"/>
          </w:tcPr>
          <w:p>
            <w:r>
              <w:t>KNN</w:t>
            </w:r>
          </w:p>
        </w:tc>
        <w:tc>
          <w:tcPr>
            <w:tcW w:type="dxa" w:w="1758"/>
          </w:tcPr>
          <w:p>
            <w:r>
              <w:t>0,9886</w:t>
            </w:r>
          </w:p>
        </w:tc>
        <w:tc>
          <w:tcPr>
            <w:tcW w:type="dxa" w:w="1758"/>
          </w:tcPr>
          <w:p>
            <w:r>
              <w:t>0,9780</w:t>
            </w:r>
          </w:p>
        </w:tc>
        <w:tc>
          <w:tcPr>
            <w:tcW w:type="dxa" w:w="1758"/>
          </w:tcPr>
          <w:p>
            <w:r>
              <w:t>0,9288</w:t>
            </w:r>
          </w:p>
        </w:tc>
        <w:tc>
          <w:tcPr>
            <w:tcW w:type="dxa" w:w="1758"/>
          </w:tcPr>
          <w:p>
            <w:r>
              <w:t>0,9495*</w:t>
            </w:r>
          </w:p>
        </w:tc>
      </w:tr>
      <w:tr>
        <w:tc>
          <w:tcPr>
            <w:tcW w:type="dxa" w:w="1758"/>
          </w:tcPr>
          <w:p>
            <w:r>
              <w:t>Random Forest</w:t>
            </w:r>
          </w:p>
        </w:tc>
        <w:tc>
          <w:tcPr>
            <w:tcW w:type="dxa" w:w="1758"/>
          </w:tcPr>
          <w:p>
            <w:r>
              <w:t>0,9900</w:t>
            </w:r>
          </w:p>
        </w:tc>
        <w:tc>
          <w:tcPr>
            <w:tcW w:type="dxa" w:w="1758"/>
          </w:tcPr>
          <w:p>
            <w:r>
              <w:t>0,9622</w:t>
            </w:r>
          </w:p>
        </w:tc>
        <w:tc>
          <w:tcPr>
            <w:tcW w:type="dxa" w:w="1758"/>
          </w:tcPr>
          <w:p>
            <w:r>
              <w:t>0,9328</w:t>
            </w:r>
          </w:p>
        </w:tc>
        <w:tc>
          <w:tcPr>
            <w:tcW w:type="dxa" w:w="1758"/>
          </w:tcPr>
          <w:p>
            <w:r>
              <w:t>0,9461</w:t>
            </w:r>
          </w:p>
        </w:tc>
      </w:tr>
      <w:tr>
        <w:tc>
          <w:tcPr>
            <w:tcW w:type="dxa" w:w="1758"/>
          </w:tcPr>
          <w:p>
            <w:r>
              <w:t>Decision Tree</w:t>
            </w:r>
          </w:p>
        </w:tc>
        <w:tc>
          <w:tcPr>
            <w:tcW w:type="dxa" w:w="1758"/>
          </w:tcPr>
          <w:p>
            <w:r>
              <w:t>0,9892</w:t>
            </w:r>
          </w:p>
        </w:tc>
        <w:tc>
          <w:tcPr>
            <w:tcW w:type="dxa" w:w="1758"/>
          </w:tcPr>
          <w:p>
            <w:r>
              <w:t>0,9464</w:t>
            </w:r>
          </w:p>
        </w:tc>
        <w:tc>
          <w:tcPr>
            <w:tcW w:type="dxa" w:w="1758"/>
          </w:tcPr>
          <w:p>
            <w:r>
              <w:t>0,9352</w:t>
            </w:r>
          </w:p>
        </w:tc>
        <w:tc>
          <w:tcPr>
            <w:tcW w:type="dxa" w:w="1758"/>
          </w:tcPr>
          <w:p>
            <w:r>
              <w:t>0,9406</w:t>
            </w:r>
          </w:p>
        </w:tc>
      </w:tr>
      <w:tr>
        <w:tc>
          <w:tcPr>
            <w:tcW w:type="dxa" w:w="1758"/>
          </w:tcPr>
          <w:p>
            <w:r>
              <w:t>MLP (Neural Net)</w:t>
            </w:r>
          </w:p>
        </w:tc>
        <w:tc>
          <w:tcPr>
            <w:tcW w:type="dxa" w:w="1758"/>
          </w:tcPr>
          <w:p>
            <w:r>
              <w:t>0,7387</w:t>
            </w:r>
          </w:p>
        </w:tc>
        <w:tc>
          <w:tcPr>
            <w:tcW w:type="dxa" w:w="1758"/>
          </w:tcPr>
          <w:p>
            <w:r>
              <w:t>0,8325</w:t>
            </w:r>
          </w:p>
        </w:tc>
        <w:tc>
          <w:tcPr>
            <w:tcW w:type="dxa" w:w="1758"/>
          </w:tcPr>
          <w:p>
            <w:r>
              <w:t>0,7854</w:t>
            </w:r>
          </w:p>
        </w:tc>
        <w:tc>
          <w:tcPr>
            <w:tcW w:type="dxa" w:w="1758"/>
          </w:tcPr>
          <w:p>
            <w:r>
              <w:t>0,7451</w:t>
            </w:r>
          </w:p>
        </w:tc>
      </w:tr>
      <w:tr>
        <w:tc>
          <w:tcPr>
            <w:tcW w:type="dxa" w:w="1758"/>
          </w:tcPr>
          <w:p>
            <w:r>
              <w:t>Logistic Regression</w:t>
            </w:r>
          </w:p>
        </w:tc>
        <w:tc>
          <w:tcPr>
            <w:tcW w:type="dxa" w:w="1758"/>
          </w:tcPr>
          <w:p>
            <w:r>
              <w:t>0,9254</w:t>
            </w:r>
          </w:p>
        </w:tc>
        <w:tc>
          <w:tcPr>
            <w:tcW w:type="dxa" w:w="1758"/>
          </w:tcPr>
          <w:p>
            <w:r>
              <w:t>0,8781</w:t>
            </w:r>
          </w:p>
        </w:tc>
        <w:tc>
          <w:tcPr>
            <w:tcW w:type="dxa" w:w="1758"/>
          </w:tcPr>
          <w:p>
            <w:r>
              <w:t>0,7369</w:t>
            </w:r>
          </w:p>
        </w:tc>
        <w:tc>
          <w:tcPr>
            <w:tcW w:type="dxa" w:w="1758"/>
          </w:tcPr>
          <w:p>
            <w:r>
              <w:t>0,7429</w:t>
            </w:r>
          </w:p>
        </w:tc>
      </w:tr>
      <w:tr>
        <w:tc>
          <w:tcPr>
            <w:tcW w:type="dxa" w:w="1758"/>
          </w:tcPr>
          <w:p>
            <w:r>
              <w:t>SVM (RBF)</w:t>
            </w:r>
          </w:p>
        </w:tc>
        <w:tc>
          <w:tcPr>
            <w:tcW w:type="dxa" w:w="1758"/>
          </w:tcPr>
          <w:p>
            <w:r>
              <w:t>0,7156</w:t>
            </w:r>
          </w:p>
        </w:tc>
        <w:tc>
          <w:tcPr>
            <w:tcW w:type="dxa" w:w="1758"/>
          </w:tcPr>
          <w:p>
            <w:r>
              <w:t>0,8430</w:t>
            </w:r>
          </w:p>
        </w:tc>
        <w:tc>
          <w:tcPr>
            <w:tcW w:type="dxa" w:w="1758"/>
          </w:tcPr>
          <w:p>
            <w:r>
              <w:t>0,6751</w:t>
            </w:r>
          </w:p>
        </w:tc>
        <w:tc>
          <w:tcPr>
            <w:tcW w:type="dxa" w:w="1758"/>
          </w:tcPr>
          <w:p>
            <w:r>
              <w:t>0,6563</w:t>
            </w:r>
          </w:p>
        </w:tc>
      </w:tr>
    </w:tbl>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ως ανωμαλία (όχι ως ARP)</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API-level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packet-level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n_packets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lease (hard_timeout συγχρονισμένο με το TTL του ελεγκτή). Όσο η επίθεση συνεχίζεται το lease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leases, χωρίς κανένα ψευδώς θετικό. Όταν η κακόβουλη κίνηση σταματά, το τελευταίο lease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Ειδικά για την πλημμύρα SYN, η τιμή 1,16 s είναι η μεμονωμένη εκτέλεση αναφοράς, ενώ η κατανομή σε δέκα κύκλους δίνει διάμεσο 1,41 s και μέσο 1,52 s (95% CI [1,06, 1,98], Πίνακας 6-13).</w:t>
      </w:r>
      <w:r w:rsidRPr="00394963">
        <w:rPr>
          <w:lang w:val="el-GR"/>
        </w:rPr>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API-level δοκιμές, όπου το αρχικό παράθυρο ανίχνευσης καταλαμβάνει μεγάλο μέρος της διάρκειας. Στην packet-level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Μετά τη διόρθωση, το σύστημα επανεκτελέστηκε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results/live/.</w:t>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proofErr w:type="spellStart"/>
      <w:r w:rsidRPr="0083506F">
        <w:rPr>
          <w:lang w:val="el-GR"/>
        </w:rPr>
      </w:r>
      <w:proofErr w:type="spellEnd"/>
      <w:r w:rsidRPr="0083506F">
        <w:rPr>
          <w:lang w:val="el-GR"/>
        </w:rPr>
      </w:r>
      <w:r/>
      <w:r w:rsidRPr="0083506F">
        <w:rPr>
          <w:lang w:val="el-GR"/>
        </w:rPr>
      </w:r>
      <w:r/>
      <w:r w:rsidRPr="0083506F">
        <w:rPr>
          <w:lang w:val="el-GR"/>
        </w:rPr>
      </w:r>
    </w:p>
    <w:p>
      <w:pPr/>
      <w:r>
        <w:t>Η ίδια πραγματική στοίβα χρησιμοποιήθηκε για να μετρηθεί η αποτελεσματικότητα της αντιμετώπισης σε επίθεση διάρκειας μεγαλύτερης από ένα TTL, ώστε να ελεγχθεί αν ο κανόνας απόρριψης καλύπτει ολόκληρη την επίθεση. Σε επίθεση εξήντα δευτερολέπτων με TTL δέκα δευτερολέπτων, οι καθυστερήσεις μετρήθηκαν με μονότονο ρολόι από τη στιγμή εκκίνησης της επίθεσης: πρώτη κακόβουλη τηλεμετρία στα 1,14 s, απόφαση του μοντέλου στα 1,16 s, εγκατάσταση κανόνα στα 1,17 s και πρώτο πραγματικά απορριφθέν πακέτο περίπου στα 1,5 s (με ακρίβεια δειγματοληψίας ±0,5 s, καθώς ο μετρητής του κανόνα ελέγχεται κάθε μισό δευτερόλεπτο, σε αντίθεση με τις άμεσες χρονοσημάνσεις της ανίχνευσης και της εγκατάστασης). Οι τιμές αυτές αντικαθιστούν την προγενέστερα αναφερόμενη ενιαία καθυστέρηση, η οποία δεν συνοδευόταν από χρονοσημάνσεις. Χάρη στην αυτόματη ανανέωση του lease,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η νόμιμη κίνηση δεν επηρεάστηκε (ping νόμιμου host με μηδενική απώλεια και σταθερό RTT), ενώ ο ελεγκτής ενημερωνόταν για κάθε ανανέωση μέσω ειδικής διεπαφής επιβολής, ώστε ο πίνακας ροών του και το data plane να μη λήγουν σε διαφορετικές στιγμές.</w:t>
      </w:r>
    </w:p>
    <w:p>
      <w:pPr/>
      <w:r>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pPr>
        <w:pStyle w:val="af0"/>
        <w:jc w:val="center"/>
      </w:pPr>
      <w:r>
        <w:rPr>
          <w:i/>
          <w:sz w:val="20"/>
        </w:rPr>
        <w:t>Πίνακας 6-12: Κάλυψη αντιμετώπισης σε πραγματική packet-level εκτέλεση (επίθεση 60 s), συναρτήσει του χρόνου ζωής του κανόνα και της ανανέωσης.</w:t>
      </w:r>
    </w:p>
    <w:tbl>
      <w:tblPr>
        <w:tblStyle w:val="afa"/>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r>
              <w:rPr>
                <w:b/>
                <w:sz w:val="18"/>
              </w:rPr>
              <w:t>Ρύθμιση</w:t>
            </w:r>
          </w:p>
        </w:tc>
        <w:tc>
          <w:tcPr>
            <w:tcW w:type="dxa" w:w="1255"/>
          </w:tcPr>
          <w:p>
            <w:r/>
            <w:r>
              <w:rPr>
                <w:b/>
                <w:sz w:val="18"/>
              </w:rPr>
              <w:t>TTL (s)</w:t>
            </w:r>
          </w:p>
        </w:tc>
        <w:tc>
          <w:tcPr>
            <w:tcW w:type="dxa" w:w="1255"/>
          </w:tcPr>
          <w:p>
            <w:r/>
            <w:r>
              <w:rPr>
                <w:b/>
                <w:sz w:val="18"/>
              </w:rPr>
              <w:t>Ανανέωση</w:t>
            </w:r>
          </w:p>
        </w:tc>
        <w:tc>
          <w:tcPr>
            <w:tcW w:type="dxa" w:w="1255"/>
          </w:tcPr>
          <w:p>
            <w:r/>
            <w:r>
              <w:rPr>
                <w:b/>
                <w:sz w:val="18"/>
              </w:rPr>
              <w:t>Κάλυψη (συνολ.)</w:t>
            </w:r>
          </w:p>
        </w:tc>
        <w:tc>
          <w:tcPr>
            <w:tcW w:type="dxa" w:w="1255"/>
          </w:tcPr>
          <w:p>
            <w:r/>
            <w:r>
              <w:rPr>
                <w:b/>
                <w:sz w:val="18"/>
              </w:rPr>
              <w:t>Κάλυψη (μετά ανίχν.)</w:t>
            </w:r>
          </w:p>
        </w:tc>
        <w:tc>
          <w:tcPr>
            <w:tcW w:type="dxa" w:w="1255"/>
          </w:tcPr>
          <w:p>
            <w:r/>
            <w:r>
              <w:rPr>
                <w:b/>
                <w:sz w:val="18"/>
              </w:rPr>
              <w:t>Leases (ανανεώσεις)</w:t>
            </w:r>
          </w:p>
        </w:tc>
        <w:tc>
          <w:tcPr>
            <w:tcW w:type="dxa" w:w="1255"/>
          </w:tcPr>
          <w:p>
            <w:r/>
            <w:r>
              <w:rPr>
                <w:b/>
                <w:sz w:val="18"/>
              </w:rPr>
              <w:t>Απορ. πακέτα</w:t>
            </w:r>
          </w:p>
        </w:tc>
      </w:tr>
      <w:tr>
        <w:tc>
          <w:tcPr>
            <w:tcW w:type="dxa" w:w="1255"/>
          </w:tcPr>
          <w:p>
            <w:r/>
            <w:r>
              <w:rPr>
                <w:sz w:val="18"/>
              </w:rPr>
              <w:t>Κανονική</w:t>
            </w:r>
          </w:p>
        </w:tc>
        <w:tc>
          <w:tcPr>
            <w:tcW w:type="dxa" w:w="1255"/>
          </w:tcPr>
          <w:p>
            <w:r/>
            <w:r>
              <w:rPr>
                <w:sz w:val="18"/>
              </w:rPr>
              <w:t>10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9 (8)</w:t>
            </w:r>
          </w:p>
        </w:tc>
        <w:tc>
          <w:tcPr>
            <w:tcW w:type="dxa" w:w="1255"/>
          </w:tcPr>
          <w:p>
            <w:r/>
            <w:r>
              <w:rPr>
                <w:sz w:val="18"/>
              </w:rPr>
              <w:t>1.456.155</w:t>
            </w:r>
          </w:p>
        </w:tc>
      </w:tr>
      <w:tr>
        <w:tc>
          <w:tcPr>
            <w:tcW w:type="dxa" w:w="1255"/>
          </w:tcPr>
          <w:p>
            <w:r>
              <w:t>Χωρίς προληπτική ανανέωση</w:t>
            </w:r>
            <w:r>
              <w:rPr>
                <w:sz w:val="18"/>
              </w:rPr>
            </w:r>
          </w:p>
        </w:tc>
        <w:tc>
          <w:tcPr>
            <w:tcW w:type="dxa" w:w="1255"/>
          </w:tcPr>
          <w:p>
            <w:r/>
            <w:r>
              <w:rPr>
                <w:sz w:val="18"/>
              </w:rPr>
              <w:t>10</w:t>
            </w:r>
          </w:p>
        </w:tc>
        <w:tc>
          <w:tcPr>
            <w:tcW w:type="dxa" w:w="1255"/>
          </w:tcPr>
          <w:p>
            <w:r>
              <w:t>Αντιδραστική</w:t>
            </w:r>
            <w:r>
              <w:rPr>
                <w:sz w:val="18"/>
              </w:rPr>
            </w:r>
          </w:p>
        </w:tc>
        <w:tc>
          <w:tcPr>
            <w:tcW w:type="dxa" w:w="1255"/>
          </w:tcPr>
          <w:p>
            <w:r/>
            <w:r>
              <w:rPr>
                <w:sz w:val="18"/>
              </w:rPr>
              <w:t>91,4%</w:t>
            </w:r>
          </w:p>
        </w:tc>
        <w:tc>
          <w:tcPr>
            <w:tcW w:type="dxa" w:w="1255"/>
          </w:tcPr>
          <w:p>
            <w:r/>
            <w:r>
              <w:rPr>
                <w:sz w:val="18"/>
              </w:rPr>
              <w:t>93,6%</w:t>
            </w:r>
          </w:p>
        </w:tc>
        <w:tc>
          <w:tcPr>
            <w:tcW w:type="dxa" w:w="1255"/>
          </w:tcPr>
          <w:p>
            <w:r/>
            <w:r>
              <w:rPr>
                <w:sz w:val="18"/>
              </w:rPr>
              <w:t>6 (5)</w:t>
            </w:r>
          </w:p>
        </w:tc>
        <w:tc>
          <w:tcPr>
            <w:tcW w:type="dxa" w:w="1255"/>
          </w:tcPr>
          <w:p>
            <w:r/>
            <w:r>
              <w:rPr>
                <w:sz w:val="18"/>
              </w:rPr>
              <w:t>1.333.599</w:t>
            </w:r>
          </w:p>
        </w:tc>
      </w:tr>
      <w:tr>
        <w:tc>
          <w:tcPr>
            <w:tcW w:type="dxa" w:w="1255"/>
          </w:tcPr>
          <w:p>
            <w:r/>
            <w:r>
              <w:rPr>
                <w:sz w:val="18"/>
              </w:rPr>
              <w:t>Μικρό TTL</w:t>
            </w:r>
          </w:p>
        </w:tc>
        <w:tc>
          <w:tcPr>
            <w:tcW w:type="dxa" w:w="1255"/>
          </w:tcPr>
          <w:p>
            <w:r/>
            <w:r>
              <w:rPr>
                <w:sz w:val="18"/>
              </w:rPr>
              <w:t>5</w:t>
            </w:r>
          </w:p>
        </w:tc>
        <w:tc>
          <w:tcPr>
            <w:tcW w:type="dxa" w:w="1255"/>
          </w:tcPr>
          <w:p>
            <w:r>
              <w:t>Προληπτική</w:t>
            </w:r>
            <w:r>
              <w:rPr>
                <w:sz w:val="18"/>
              </w:rPr>
            </w:r>
          </w:p>
        </w:tc>
        <w:tc>
          <w:tcPr>
            <w:tcW w:type="dxa" w:w="1255"/>
          </w:tcPr>
          <w:p>
            <w:r/>
            <w:r>
              <w:rPr>
                <w:sz w:val="18"/>
              </w:rPr>
              <w:t>96,9%</w:t>
            </w:r>
          </w:p>
        </w:tc>
        <w:tc>
          <w:tcPr>
            <w:tcW w:type="dxa" w:w="1255"/>
          </w:tcPr>
          <w:p>
            <w:r/>
            <w:r>
              <w:rPr>
                <w:sz w:val="18"/>
              </w:rPr>
              <w:t>100%</w:t>
            </w:r>
          </w:p>
        </w:tc>
        <w:tc>
          <w:tcPr>
            <w:tcW w:type="dxa" w:w="1255"/>
          </w:tcPr>
          <w:p>
            <w:r/>
            <w:r>
              <w:rPr>
                <w:sz w:val="18"/>
              </w:rPr>
              <w:t>21 (20)</w:t>
            </w:r>
          </w:p>
        </w:tc>
        <w:tc>
          <w:tcPr>
            <w:tcW w:type="dxa" w:w="1255"/>
          </w:tcPr>
          <w:p>
            <w:r/>
            <w:r>
              <w:rPr>
                <w:sz w:val="18"/>
              </w:rPr>
              <w:t>1.415.331</w:t>
            </w:r>
          </w:p>
        </w:tc>
      </w:tr>
      <w:tr>
        <w:tc>
          <w:tcPr>
            <w:tcW w:type="dxa" w:w="1255"/>
          </w:tcPr>
          <w:p>
            <w:r/>
            <w:r>
              <w:rPr>
                <w:sz w:val="18"/>
              </w:rPr>
              <w:t>Μεγάλο TTL</w:t>
            </w:r>
          </w:p>
        </w:tc>
        <w:tc>
          <w:tcPr>
            <w:tcW w:type="dxa" w:w="1255"/>
          </w:tcPr>
          <w:p>
            <w:r/>
            <w:r>
              <w:rPr>
                <w:sz w:val="18"/>
              </w:rPr>
              <w:t>20</w:t>
            </w:r>
          </w:p>
        </w:tc>
        <w:tc>
          <w:tcPr>
            <w:tcW w:type="dxa" w:w="1255"/>
          </w:tcPr>
          <w:p>
            <w:r>
              <w:t>Προληπτική</w:t>
            </w:r>
            <w:r>
              <w:rPr>
                <w:sz w:val="18"/>
              </w:rPr>
            </w:r>
          </w:p>
        </w:tc>
        <w:tc>
          <w:tcPr>
            <w:tcW w:type="dxa" w:w="1255"/>
          </w:tcPr>
          <w:p>
            <w:r/>
            <w:r>
              <w:rPr>
                <w:sz w:val="18"/>
              </w:rPr>
              <w:t>97,7%</w:t>
            </w:r>
          </w:p>
        </w:tc>
        <w:tc>
          <w:tcPr>
            <w:tcW w:type="dxa" w:w="1255"/>
          </w:tcPr>
          <w:p>
            <w:r/>
            <w:r>
              <w:rPr>
                <w:sz w:val="18"/>
              </w:rPr>
              <w:t>100%</w:t>
            </w:r>
          </w:p>
        </w:tc>
        <w:tc>
          <w:tcPr>
            <w:tcW w:type="dxa" w:w="1255"/>
          </w:tcPr>
          <w:p>
            <w:r/>
            <w:r>
              <w:rPr>
                <w:sz w:val="18"/>
              </w:rPr>
              <w:t>5 (4)</w:t>
            </w:r>
          </w:p>
        </w:tc>
        <w:tc>
          <w:tcPr>
            <w:tcW w:type="dxa" w:w="1255"/>
          </w:tcPr>
          <w:p>
            <w:r/>
            <w:r>
              <w:rPr>
                <w:sz w:val="18"/>
              </w:rPr>
              <w:t>1.458.553</w:t>
            </w:r>
          </w:p>
        </w:tc>
      </w:tr>
    </w:tbl>
    <w:p>
      <w:pPr/>
      <w:r>
        <w:t>Η γραμμή «Χωρίς προληπτική ανανέωση» αντιστοιχεί σε λειτουργία όπου η προληπτική ανανέωση είναι απενεργοποιημένη και ο κανόνας επανεγκαθίσταται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TTL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pPr/>
      <w:r>
        <w:rPr>
          <w:i w:val="0"/>
        </w:rPr>
        <w:t>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mininet_run_20260714_213805).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μετρικών, με διαστήματα εμπιστοσύνης 95% του μέσου υπολογισμένα με την κατανομή t (Student, εννέα βαθμοί ελευθερίας), δίνονται στον ακόλουθο πίνακα.</w:t>
      </w:r>
    </w:p>
    <w:p>
      <w:pPr>
        <w:pStyle w:val="af0"/>
        <w:jc w:val="center"/>
      </w:pPr>
      <w:r>
        <w:rPr>
          <w:i/>
          <w:sz w:val="20"/>
        </w:rPr>
        <w:t>Πίνακας 6-13: Κατανομές των μετρικών σε δέκα επαναλαμβανόμενους κύκλους επίθεσης μέσα στην ίδια εκτέλεση (διάμεσος, μέσος, p95 και 95% διάστημα εμπιστοσύνης του μέσου με κατανομή t). Ο αστερίσκος (*) σημειώνει ότι ο χρόνος του πρώτου απορριφθέντος πακέτου φέρει ακρίβεια δειγματοληψίας περίπου ±0,5 s, καθώς ο μετρητής του κανόνα ελέγχεται κάθε μισό δευτερόλεπτο.</w:t>
      </w:r>
    </w:p>
    <w:tbl>
      <w:tblPr>
        <w:tblStyle w:val="afa"/>
        <w:tblW w:type="auto" w:w="0"/>
        <w:tblLook w:firstColumn="1" w:firstRow="1" w:lastColumn="0" w:lastRow="0" w:noHBand="0" w:noVBand="1" w:val="04A0"/>
      </w:tblPr>
      <w:tblGrid>
        <w:gridCol w:w="1758"/>
        <w:gridCol w:w="1758"/>
        <w:gridCol w:w="1758"/>
        <w:gridCol w:w="1758"/>
        <w:gridCol w:w="1758"/>
      </w:tblGrid>
      <w:tr>
        <w:tc>
          <w:tcPr>
            <w:tcW w:type="dxa" w:w="1758"/>
          </w:tcPr>
          <w:p>
            <w:r/>
            <w:r>
              <w:rPr>
                <w:b/>
                <w:sz w:val="18"/>
              </w:rPr>
              <w:t>Μετρική</w:t>
            </w:r>
          </w:p>
        </w:tc>
        <w:tc>
          <w:tcPr>
            <w:tcW w:type="dxa" w:w="1758"/>
          </w:tcPr>
          <w:p>
            <w:r/>
            <w:r>
              <w:rPr>
                <w:b/>
                <w:sz w:val="18"/>
              </w:rPr>
              <w:t>Διάμεσος</w:t>
            </w:r>
          </w:p>
        </w:tc>
        <w:tc>
          <w:tcPr>
            <w:tcW w:type="dxa" w:w="1758"/>
          </w:tcPr>
          <w:p>
            <w:r/>
            <w:r>
              <w:rPr>
                <w:b/>
                <w:sz w:val="18"/>
              </w:rPr>
              <w:t>Μέσος</w:t>
            </w:r>
          </w:p>
        </w:tc>
        <w:tc>
          <w:tcPr>
            <w:tcW w:type="dxa" w:w="1758"/>
          </w:tcPr>
          <w:p>
            <w:r/>
            <w:r>
              <w:rPr>
                <w:b/>
                <w:sz w:val="18"/>
              </w:rPr>
              <w:t>p95</w:t>
            </w:r>
          </w:p>
        </w:tc>
        <w:tc>
          <w:tcPr>
            <w:tcW w:type="dxa" w:w="1758"/>
          </w:tcPr>
          <w:p>
            <w:r/>
            <w:r>
              <w:rPr>
                <w:b/>
                <w:sz w:val="18"/>
              </w:rPr>
              <w:t>95% CI του μέσου</w:t>
            </w:r>
          </w:p>
        </w:tc>
      </w:tr>
      <w:tr>
        <w:tc>
          <w:tcPr>
            <w:tcW w:type="dxa" w:w="1758"/>
          </w:tcPr>
          <w:p>
            <w:r/>
            <w:r>
              <w:rPr>
                <w:sz w:val="18"/>
              </w:rPr>
              <w:t>Καθυστέρηση ανίχνευσης (s)</w:t>
            </w:r>
          </w:p>
        </w:tc>
        <w:tc>
          <w:tcPr>
            <w:tcW w:type="dxa" w:w="1758"/>
          </w:tcPr>
          <w:p>
            <w:r>
              <w:t>1,41</w:t>
            </w:r>
            <w:r>
              <w:rPr>
                <w:sz w:val="18"/>
              </w:rPr>
            </w:r>
          </w:p>
        </w:tc>
        <w:tc>
          <w:tcPr>
            <w:tcW w:type="dxa" w:w="1758"/>
          </w:tcPr>
          <w:p>
            <w:r>
              <w:t>1,52</w:t>
            </w:r>
            <w:r>
              <w:rPr>
                <w:sz w:val="18"/>
              </w:rPr>
            </w:r>
          </w:p>
        </w:tc>
        <w:tc>
          <w:tcPr>
            <w:tcW w:type="dxa" w:w="1758"/>
          </w:tcPr>
          <w:p>
            <w:r>
              <w:t>2,66</w:t>
            </w:r>
            <w:r>
              <w:rPr>
                <w:sz w:val="18"/>
              </w:rPr>
            </w:r>
          </w:p>
        </w:tc>
        <w:tc>
          <w:tcPr>
            <w:tcW w:type="dxa" w:w="1758"/>
          </w:tcPr>
          <w:p>
            <w:r>
              <w:t>[1,06, 1,98]</w:t>
            </w:r>
            <w:r>
              <w:rPr>
                <w:sz w:val="18"/>
              </w:rPr>
            </w:r>
          </w:p>
        </w:tc>
      </w:tr>
      <w:tr>
        <w:tc>
          <w:tcPr>
            <w:tcW w:type="dxa" w:w="1758"/>
          </w:tcPr>
          <w:p>
            <w:r>
              <w:t>Πρώτο απορριφθέν πακέτο (s) *</w:t>
            </w:r>
            <w:r>
              <w:rPr>
                <w:sz w:val="18"/>
              </w:rPr>
            </w:r>
          </w:p>
        </w:tc>
        <w:tc>
          <w:tcPr>
            <w:tcW w:type="dxa" w:w="1758"/>
          </w:tcPr>
          <w:p>
            <w:r>
              <w:t>1,52</w:t>
            </w:r>
            <w:r>
              <w:rPr>
                <w:sz w:val="18"/>
              </w:rPr>
            </w:r>
          </w:p>
        </w:tc>
        <w:tc>
          <w:tcPr>
            <w:tcW w:type="dxa" w:w="1758"/>
          </w:tcPr>
          <w:p>
            <w:r>
              <w:t>1,66</w:t>
            </w:r>
            <w:r>
              <w:rPr>
                <w:sz w:val="18"/>
              </w:rPr>
            </w:r>
          </w:p>
        </w:tc>
        <w:tc>
          <w:tcPr>
            <w:tcW w:type="dxa" w:w="1758"/>
          </w:tcPr>
          <w:p>
            <w:r>
              <w:t>2,97</w:t>
            </w:r>
            <w:r>
              <w:rPr>
                <w:sz w:val="18"/>
              </w:rPr>
            </w:r>
          </w:p>
        </w:tc>
        <w:tc>
          <w:tcPr>
            <w:tcW w:type="dxa" w:w="1758"/>
          </w:tcPr>
          <w:p>
            <w:r>
              <w:t>[1,18, 2,13]</w:t>
            </w:r>
            <w:r>
              <w:rPr>
                <w:sz w:val="18"/>
              </w:rPr>
            </w:r>
          </w:p>
        </w:tc>
      </w:tr>
      <w:tr>
        <w:tc>
          <w:tcPr>
            <w:tcW w:type="dxa" w:w="1758"/>
          </w:tcPr>
          <w:p>
            <w:r/>
            <w:r>
              <w:rPr>
                <w:sz w:val="18"/>
              </w:rPr>
              <w:t>Κάλυψη αντιμετώπισης (%)</w:t>
            </w:r>
          </w:p>
        </w:tc>
        <w:tc>
          <w:tcPr>
            <w:tcW w:type="dxa" w:w="1758"/>
          </w:tcPr>
          <w:p>
            <w:r>
              <w:t>95,6</w:t>
            </w:r>
            <w:r>
              <w:rPr>
                <w:sz w:val="18"/>
              </w:rPr>
            </w:r>
          </w:p>
        </w:tc>
        <w:tc>
          <w:tcPr>
            <w:tcW w:type="dxa" w:w="1758"/>
          </w:tcPr>
          <w:p>
            <w:r>
              <w:t>95,0</w:t>
            </w:r>
            <w:r>
              <w:rPr>
                <w:sz w:val="18"/>
              </w:rPr>
            </w:r>
          </w:p>
        </w:tc>
        <w:tc>
          <w:tcPr>
            <w:tcW w:type="dxa" w:w="1758"/>
          </w:tcPr>
          <w:p>
            <w:r>
              <w:t>97,1</w:t>
            </w:r>
            <w:r>
              <w:rPr>
                <w:sz w:val="18"/>
              </w:rPr>
            </w:r>
          </w:p>
        </w:tc>
        <w:tc>
          <w:tcPr>
            <w:tcW w:type="dxa" w:w="1758"/>
          </w:tcPr>
          <w:p>
            <w:r>
              <w:t>[93,6, 96,4]</w:t>
            </w:r>
            <w:r>
              <w:rPr>
                <w:sz w:val="18"/>
              </w:rPr>
            </w:r>
          </w:p>
        </w:tc>
      </w:tr>
      <w:tr>
        <w:tc>
          <w:tcPr>
            <w:tcW w:type="dxa" w:w="1758"/>
          </w:tcPr>
          <w:p>
            <w:r/>
            <w:r>
              <w:rPr>
                <w:sz w:val="18"/>
              </w:rPr>
              <w:t>Κάλυψη μετά την ανίχνευση (%)</w:t>
            </w:r>
          </w:p>
        </w:tc>
        <w:tc>
          <w:tcPr>
            <w:tcW w:type="dxa" w:w="1758"/>
          </w:tcPr>
          <w:p>
            <w:r>
              <w:t>100</w:t>
            </w:r>
            <w:r>
              <w:rPr>
                <w:sz w:val="18"/>
              </w:rPr>
            </w:r>
          </w:p>
        </w:tc>
        <w:tc>
          <w:tcPr>
            <w:tcW w:type="dxa" w:w="1758"/>
          </w:tcPr>
          <w:p>
            <w:r>
              <w:t>100</w:t>
            </w:r>
            <w:r>
              <w:rPr>
                <w:sz w:val="18"/>
              </w:rPr>
            </w:r>
          </w:p>
        </w:tc>
        <w:tc>
          <w:tcPr>
            <w:tcW w:type="dxa" w:w="1758"/>
          </w:tcPr>
          <w:p>
            <w:r>
              <w:t>100</w:t>
            </w:r>
            <w:r>
              <w:rPr>
                <w:sz w:val="18"/>
              </w:rPr>
            </w:r>
          </w:p>
        </w:tc>
        <w:tc>
          <w:tcPr>
            <w:tcW w:type="dxa" w:w="1758"/>
          </w:tcPr>
          <w:p>
            <w:r>
              <w:t>[100, 100]</w:t>
            </w:r>
            <w:r>
              <w:rPr>
                <w:sz w:val="18"/>
              </w:rPr>
            </w:r>
          </w:p>
        </w:tc>
      </w:tr>
      <w:tr>
        <w:tc>
          <w:tcPr>
            <w:tcW w:type="dxa" w:w="1758"/>
          </w:tcPr>
          <w:p>
            <w:r/>
            <w:r>
              <w:rPr>
                <w:sz w:val="18"/>
              </w:rPr>
              <w:t>Απορριφθέντα πακέτα</w:t>
            </w:r>
          </w:p>
        </w:tc>
        <w:tc>
          <w:tcPr>
            <w:tcW w:type="dxa" w:w="1758"/>
          </w:tcPr>
          <w:p>
            <w:r>
              <w:t>744.845</w:t>
            </w:r>
            <w:r>
              <w:rPr>
                <w:sz w:val="18"/>
              </w:rPr>
            </w:r>
          </w:p>
        </w:tc>
        <w:tc>
          <w:tcPr>
            <w:tcW w:type="dxa" w:w="1758"/>
          </w:tcPr>
          <w:p>
            <w:r>
              <w:t>746.757</w:t>
            </w:r>
            <w:r>
              <w:rPr>
                <w:sz w:val="18"/>
              </w:rPr>
            </w:r>
          </w:p>
        </w:tc>
        <w:tc>
          <w:tcPr>
            <w:tcW w:type="dxa" w:w="1758"/>
          </w:tcPr>
          <w:p>
            <w:r>
              <w:t>770.106</w:t>
            </w:r>
            <w:r>
              <w:rPr>
                <w:sz w:val="18"/>
              </w:rPr>
            </w:r>
          </w:p>
        </w:tc>
        <w:tc>
          <w:tcPr>
            <w:tcW w:type="dxa" w:w="1758"/>
          </w:tcPr>
          <w:p>
            <w:r>
              <w:t>[736.192, 757.321]</w:t>
            </w:r>
            <w:r>
              <w:rPr>
                <w:sz w:val="18"/>
              </w:rPr>
            </w:r>
          </w:p>
        </w:tc>
      </w:tr>
    </w:tbl>
    <w:p>
      <w:pPr/>
      <w:r>
        <w:rPr>
          <w:i w:val="0"/>
        </w:rPr>
        <w:t>Τα διαστήματα εμπιστοσύνης δείχνουν σταθερή συμπεριφορά μεταξύ κύκλων: η καθυστέρηση ανίχνευσης έχει διάμεσο 1,41 s και μέσο 1,52 s (95% CI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s) καταγράφεται με τη δειγματοληπτική ακρίβεια των ±0,5 s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χρονοσημάνσεις μονότονου ρολογιού. Παράλληλα μετρήθηκε η επίδραση στο δίκτυο: σε καμία από τις δέκα εκτελέσεις η ping κίνηση νόμιμου host δεν υπέστη απώλεια πακέτων, και το μέσο RTT της παρέμεινε ουσιαστικά αμετάβλητο πριν, κατά τη διάρκεια και μετά την επίθεση (περίπου 4,5 ms σε κανονική λειτουργία, 4,3 ms υπό επίθεση και 4,5 ms μετά την αποκατάσταση). Τα μεγέθη αυτά αφορούν αποκλειστικά την εξεταζόμενη ping κίνηση: δεν μετρήθηκαν throughput, jitter ή επιβάρυνση CPU/μνήμης του ελεγκτή, οπότε το συμπέρασμα περιορίζεται στην απώλεια πακέτων και στο RTT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Πίνακας 6-14: Μετρήσεις κατά τη διάρκεια της επίθεσης κορεσμού control plane.</w:t>
      </w:r>
      <w:proofErr w:type="spellStart"/>
      <w:r w:rsidRPr="00CD07AC">
        <w:rPr>
          <w:i/>
          <w:color w:val="000000" w:themeColor="text1"/>
          <w:sz w:val="20"/>
          <w:lang w:val="el-GR"/>
        </w:rPr>
      </w:r>
      <w:proofErr w:type="spellEnd"/>
      <w:r w:rsidRPr="00CD07AC">
        <w:rPr>
          <w:i/>
          <w:color w:val="000000" w:themeColor="text1"/>
          <w:sz w:val="20"/>
          <w:lang w:val="el-GR"/>
        </w:rPr>
      </w:r>
      <w:proofErr w:type="spellStart"/>
      <w:r w:rsidRPr="00CD07AC">
        <w:rPr>
          <w:i/>
          <w:color w:val="000000" w:themeColor="text1"/>
          <w:sz w:val="20"/>
          <w:lang w:val="el-GR"/>
        </w:rPr>
      </w:r>
      <w:proofErr w:type="spellEnd"/>
      <w:r w:rsidRPr="00CD07AC">
        <w:rPr>
          <w:i/>
          <w:color w:val="000000" w:themeColor="text1"/>
          <w:sz w:val="20"/>
          <w:lang w:val="el-GR"/>
        </w:rPr>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(mimicry) εναντίον του εποπτευόμενου Random Forest, και φυσικές στρατηγικές (slow-rate, pulse, multi-source) εναντίον του ζωντανού μοντέλου συγκεντρωτικών χαρακτηριστικών.</w:t>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r/>
      <w:r w:rsidRPr="00394963">
        <w:rPr>
          <w:lang w:val="el-GR"/>
        </w:rPr>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Πίνακας 6-15: Επίθεση μίμησης εναντίον του Random Forest: ρυθμός αποφυγής vs διαταραχή ε.</w:t>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roofErr w:type="spellStart"/>
      <w:r w:rsidRPr="00D07AEC">
        <w:rPr>
          <w:i/>
          <w:color w:val="000000" w:themeColor="text1"/>
          <w:sz w:val="20"/>
          <w:lang w:val="el-GR"/>
        </w:rPr>
      </w:r>
      <w:proofErr w:type="spellEnd"/>
      <w:r w:rsidRPr="00D07AEC">
        <w:rPr>
          <w:i/>
          <w:color w:val="000000" w:themeColor="text1"/>
          <w:sz w:val="20"/>
          <w:lang w:val="el-GR"/>
        </w:rPr>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Αντίθετα με το Random Forest,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(slow-rate, pulse, multi-source).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adversarial τακτική.</w:t>
      </w:r>
      <w:r/>
      <w:r w:rsidRPr="00394963">
        <w:rPr>
          <w:lang w:val="el-GR"/>
        </w:rPr>
      </w:r>
      <w:r/>
      <w:r w:rsidRPr="00394963">
        <w:rPr>
          <w:lang w:val="el-GR"/>
        </w:rPr>
      </w:r>
      <w:r w:rsidRPr="00394963">
        <w:rPr>
          <w:lang w:val="el-GR"/>
        </w:rPr>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6-16: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Το συμπέρασμα είναι ότι, στις στρατηγικές που δοκιμάστηκαν, το σύστημα εμφανίζεται ανθεκτικό λόγω της πολυεπιπεδότητάς του: αν και το Random Forest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packet-level adversarial evasion εναντίον της ζωντανής στοίβας, οπότε δεν τεκμηριώνεται συνολική adversarial ανθεκτικότητα του end-to-end συστήματος. Το προφίλ αυτό είναι σύμφωνο με τη βιβλιογραφία της αντίπαλης μηχανικής μάθησης [16], [17], [18], [19], [20].</w:t>
      </w:r>
      <w:proofErr w:type="spellStart"/>
      <w:r w:rsidRPr="00394963">
        <w:rPr>
          <w:lang w:val="el-GR"/>
        </w:rPr>
      </w:r>
      <w:proofErr w:type="spellEnd"/>
      <w:r w:rsidRPr="00394963">
        <w:rPr>
          <w:lang w:val="el-GR"/>
        </w:rPr>
      </w:r>
      <w:r/>
      <w:r w:rsidRPr="00394963">
        <w:rPr>
          <w:lang w:val="el-GR"/>
        </w:rPr>
      </w:r>
      <w:r/>
      <w:r w:rsidRPr="00394963">
        <w:rPr>
          <w:lang w:val="el-GR"/>
        </w:rPr>
      </w:r>
      <w:proofErr w:type="spellStart"/>
      <w:r w:rsidRPr="00394963">
        <w:rPr>
          <w:lang w:val="el-GR"/>
        </w:rPr>
      </w:r>
      <w:proofErr w:type="spellEnd"/>
      <w:r w:rsidRPr="00394963">
        <w:rPr>
          <w:lang w:val="el-GR"/>
        </w:rPr>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Πίνακας 6-17: Ρυθμός αποφυγής (mimicry) Original vs Robust Random Forest ανά διαταραχή ε.</w:t>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roofErr w:type="spellStart"/>
      <w:r w:rsidRPr="00DB3B86">
        <w:rPr>
          <w:i/>
          <w:color w:val="000000" w:themeColor="text1"/>
          <w:sz w:val="20"/>
        </w:rPr>
      </w:r>
      <w:proofErr w:type="spellEnd"/>
      <w:r w:rsidRPr="00DB3B86">
        <w:rPr>
          <w:i/>
          <w:color w:val="000000" w:themeColor="text1"/>
          <w:sz w:val="20"/>
        </w:rPr>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Random Forest συνδυάζει κορυφαία ακρίβεια με ιδιαίτερα χαμηλό χρόνο πρόβλεψης, καθιστώντας το κατάλληλο για online χρήση. Ο Isolation Forest,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r/>
      <w:r w:rsidRPr="00394963">
        <w:rPr>
          <w:lang w:val="el-GR"/>
        </w:rPr>
      </w:r>
      <w:r/>
      <w:r w:rsidRPr="00394963">
        <w:rPr>
          <w:lang w:val="el-GR"/>
        </w:rPr>
      </w:r>
      <w:r/>
      <w:r w:rsidRPr="00394963">
        <w:rPr>
          <w:lang w:val="el-GR"/>
        </w:rPr>
      </w:r>
      <w:r/>
      <w:r w:rsidRPr="00394963">
        <w:rPr>
          <w:lang w:val="el-GR"/>
        </w:rPr>
      </w:r>
      <w:r/>
      <w:r w:rsidRPr="00394963">
        <w:rPr>
          <w:lang w:val="el-GR"/>
        </w:rPr>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Διάσταση</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Ανάγκη προηγούμενης γνώσης επίθεσης</w:t>
            </w:r>
            <w:proofErr w:type="spellEnd"/>
            <w:r>
              <w:rPr>
                <w:b w:val="0"/>
                <w:sz w:val="18"/>
              </w:rPr>
            </w:r>
            <w:proofErr w:type="spellStart"/>
            <w:r>
              <w:rPr>
                <w:b w:val="0"/>
                <w:sz w:val="18"/>
              </w:rPr>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Μικρότερη — anomaly, δεν απαιτεί υπογραφή</w:t>
            </w:r>
            <w:proofErr w:type="spellStart"/>
            <w:r>
              <w:rPr>
                <w:sz w:val="18"/>
              </w:rPr>
            </w:r>
            <w:proofErr w:type="spellEnd"/>
            <w:r>
              <w:rPr>
                <w:sz w:val="18"/>
              </w:rPr>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 απαιτεί γνωστή υπογραφή</w:t>
            </w:r>
            <w:proofErr w:type="spellEnd"/>
            <w:r>
              <w:rPr>
                <w:sz w:val="18"/>
              </w:rPr>
            </w:r>
            <w:proofErr w:type="spellStart"/>
            <w:r>
              <w:rPr>
                <w:sz w:val="18"/>
              </w:rPr>
            </w:r>
            <w:proofErr w:type="spellEnd"/>
            <w:r>
              <w:rPr>
                <w:sz w:val="18"/>
              </w:rPr>
            </w:r>
            <w:proofErr w:type="spellStart"/>
            <w:r>
              <w:rPr>
                <w:sz w:val="18"/>
              </w:rPr>
            </w:r>
            <w:proofErr w:type="spellEnd"/>
            <w:r>
              <w:rPr>
                <w:sz w:val="18"/>
              </w:rPr>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Άγνωστες / zero-day παραλλαγές</w:t>
            </w:r>
            <w:proofErr w:type="spellEnd"/>
            <w:r>
              <w:rPr>
                <w:b w:val="0"/>
                <w:sz w:val="18"/>
              </w:rPr>
            </w:r>
            <w:proofErr w:type="spellStart"/>
            <w:r>
              <w:rPr>
                <w:b w:val="0"/>
                <w:sz w:val="18"/>
              </w:rPr>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r>
              <w:rPr>
                <w:sz w:val="18"/>
              </w:rPr>
            </w:r>
            <w:r w:rsidRPr="00394963">
              <w:rPr>
                <w:sz w:val="18"/>
                <w:lang w:val="el-GR"/>
              </w:rPr>
            </w:r>
            <w:r>
              <w:rPr>
                <w:sz w:val="18"/>
              </w:rPr>
            </w:r>
            <w:r w:rsidRPr="00394963">
              <w:rPr>
                <w:sz w:val="18"/>
                <w:lang w:val="el-GR"/>
              </w:rPr>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Περιορισμένη χωρίς νέα υπογραφή</w:t>
            </w:r>
            <w:proofErr w:type="spellStart"/>
            <w:r>
              <w:rPr>
                <w:sz w:val="18"/>
              </w:rPr>
            </w:r>
            <w:proofErr w:type="spellEnd"/>
            <w:r>
              <w:rPr>
                <w:sz w:val="18"/>
              </w:rPr>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Ερμηνευσιμότητα απόφασης</w:t>
            </w:r>
            <w:proofErr w:type="spellStart"/>
            <w:r>
              <w:rPr>
                <w:b w:val="0"/>
                <w:sz w:val="18"/>
              </w:rPr>
            </w:r>
            <w:proofErr w:type="spellEnd"/>
            <w:r>
              <w:rPr>
                <w:b w:val="0"/>
                <w:sz w:val="18"/>
              </w:rPr>
            </w:r>
            <w:proofErr w:type="spellStart"/>
            <w:r>
              <w:rPr>
                <w:b w:val="0"/>
                <w:sz w:val="18"/>
              </w:rPr>
            </w:r>
            <w:proofErr w:type="spellEnd"/>
            <w:r>
              <w:rPr>
                <w:b w:val="0"/>
                <w:sz w:val="18"/>
              </w:rPr>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Μεταβλητή</w:t>
            </w:r>
            <w:proofErr w:type="spellStart"/>
            <w:r>
              <w:rPr>
                <w:sz w:val="18"/>
              </w:rPr>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 υψηλή (ρητός κανόνας)</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False positives</w:t>
            </w:r>
            <w:proofErr w:type="spellStart"/>
            <w:r>
              <w:rPr>
                <w:b w:val="0"/>
                <w:sz w:val="18"/>
              </w:rPr>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μοντέλο, κατώφλι, domain</w:t>
            </w:r>
            <w:proofErr w:type="spellEnd"/>
            <w:r>
              <w:rPr>
                <w:sz w:val="18"/>
              </w:rPr>
            </w:r>
            <w:proofErr w:type="spellStart"/>
            <w:r>
              <w:rPr>
                <w:sz w:val="18"/>
              </w:rPr>
            </w:r>
            <w:proofErr w:type="spellEnd"/>
            <w:r>
              <w:rPr>
                <w:sz w:val="18"/>
              </w:rPr>
            </w:r>
            <w:proofErr w:type="spellStart"/>
            <w:r>
              <w:rPr>
                <w:sz w:val="18"/>
              </w:rPr>
            </w:r>
            <w:proofErr w:type="spellEnd"/>
            <w:r>
              <w:rPr>
                <w:sz w:val="18"/>
              </w:rPr>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Εξαρτώνται από κανόνες και περιβάλλον</w:t>
            </w:r>
            <w:proofErr w:type="spellEnd"/>
            <w:r>
              <w:rPr>
                <w:sz w:val="18"/>
              </w:rPr>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Συντήρηση και αυτόματη απόκριση</w:t>
            </w:r>
            <w:proofErr w:type="spellEnd"/>
            <w:r>
              <w:rPr>
                <w:b w:val="0"/>
                <w:sz w:val="18"/>
              </w:rPr>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Retraining, παρακολούθηση drift, αυτόματη εγκατάσταση drop-rule</w:t>
            </w:r>
            <w:proofErr w:type="spellStart"/>
            <w:r>
              <w:rPr>
                <w:sz w:val="18"/>
              </w:rPr>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Ενημέρωση κανόνων/υπογραφών, αυτόματο blocking σε διαμόρφωση IPS</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Πίνακας 6-18: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proofErr w:type="spellStart"/>
      <w:r w:rsidRPr="00234D29">
        <w:rPr>
          <w:i/>
          <w:color w:val="000000" w:themeColor="text1"/>
          <w:sz w:val="20"/>
          <w:lang w:val="el-GR"/>
        </w:rPr>
      </w:r>
      <w:proofErr w:type="spellEnd"/>
      <w:r w:rsidRPr="00234D29">
        <w:rPr>
          <w:i/>
          <w:color w:val="000000" w:themeColor="text1"/>
          <w:sz w:val="20"/>
          <w:lang w:val="el-GR"/>
        </w:rPr>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6-19: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Χρήση συνθετικού συνόλου σε μέρος των offline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r/>
      <w:r w:rsidRPr="00394963">
        <w:rPr>
          <w:lang w:val="el-GR"/>
        </w:rPr>
      </w:r>
      <w:r/>
      <w:r w:rsidRPr="00394963">
        <w:rPr>
          <w:lang w:val="el-GR"/>
        </w:rPr>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στην ίδια στοίβα (Πίνακας 6-13)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API-level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Carlo και την offline αξιολόγηση.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hosts.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Isolation Forest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r/>
      <w:r w:rsidRPr="00394963">
        <w:rPr>
          <w:lang w:val="el-GR"/>
        </w:rPr>
      </w:r>
      <w:r/>
      <w:r w:rsidRPr="00394963">
        <w:rPr>
          <w:lang w:val="el-GR"/>
        </w:rPr>
      </w:r>
      <w:r/>
      <w:r w:rsidRPr="00394963">
        <w:rPr>
          <w:lang w:val="el-GR"/>
        </w:rPr>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0,946 (group-aware) στο InSDN, σταθερά και στα δύο ανεξάρτητα πρωτόκολλα διαχωρισμού. Ο KNN έφτασε παρόμοιο μακρο-F1 στο ένα πρωτόκολλο (0,950) αλλά αποδείχθηκε ασταθής υπό group-aware διαχωρισμό, με πολλαπλάσιο επιπλέον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API-level σενάρια συνήθως σε λιγότερο από ένα δευτερόλεπτο, ενώ στην packet-level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lang w:val="el-GR"/>
        </w:rPr>
        <w:t>Απαντήσεις στα ερευνητικά ερωτήματα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group-aware διαχωρισμό, το Random Forest δίνει macro-F1 περίπου 0,946, σταθερά σε δύο ανεξάρτητους group-aware διαχωρισμούς, και προτιμάται πρακτικά λόγω πολύ μικρότερου χρόνου πρόβλεψης. Ο KNN φτάνει παρόμοια επίπεδα στο ένα πρωτόκολλο (0,950) αλλά είναι ασταθής (0,77 στο δεύτερο), λόγω της εξάρτησής του από τη σύνθεση των γειτόνων. Αντίθετα, τα ασθενέστερα μοντέλα υποχωρούν σταθερά και σημαντικά υπό group-aware διαχωρισμό (SVM 0,656, MLP 0,745), γεγονός που δείχνει ότι η υψηλή τους επίδοση στον τυχαίο διαχωρισμό οφειλόταν στη διαρροή διπλότυπων.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RQ2. Το Isolation Forest αποδίδει σχεδόν τέλεια στο συνθετικό σύνολο καθαρών υπογραφών (F1 περίπου 0,993) αλλά σημαντικά χαμηλότερα στο πραγματικό InSDN (F1 περίπου 0,804).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RQ3. Ναι. Στην packet-level εκτέλεση σε Mininet/Open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1EC19ABB" w14:textId="77777777" w:rsidR="009E7704" w:rsidRPr="00394963" w:rsidRDefault="00AD61C4">
      <w:pPr>
        <w:rPr>
          <w:lang w:val="el-GR"/>
        </w:rPr>
      </w:pPr>
      <w:r w:rsidRPr="00394963">
        <w:rPr>
          <w:b w:val="0"/>
          <w:lang w:val="el-GR"/>
        </w:rPr>
        <w:t>RQ5. Στις μετρήσεις που πραγματοποιήθηκαν, ο μηχανισμός αντιμετώπισης δεν είχε μετρήσιμη επίδραση στη νόμιμη κίνηση: κατά τη διάρκεια της επίθεσης η ping κίνηση νόμιμου host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throughput της νόμιμης κίνησης, το jitter ή η επιβάρυνση CPU/μνήμης του ελεγκτή, οπότε το συμπέρασμα περιορίζεται στα μεγέθη που όντως μετρήθηκαν. Απομένουν επίσης δύο ουσιώδεις περιορισμοί για μια πλήρη reactive SDN υλοποίηση: η αρχιτεκτονική είναι υβριδική και όχι αμιγώς αντιδραστική με OpenFlow controller, και χρησιμοποιείται ένας μοναδικός λογικός ελεγκτής αντί για κατανεμημένο σύμπλεγμα.</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0459AFAF" w14:textId="77777777" w:rsidR="009E7704" w:rsidRPr="00394963" w:rsidRDefault="00AD61C4">
      <w:pPr>
        <w:rPr>
          <w:lang w:val="el-GR"/>
        </w:rPr>
      </w:pPr>
      <w:r w:rsidRPr="00394963">
        <w:rPr>
          <w:lang w:val="el-GR"/>
        </w:rPr>
        <w:t>Ως προς την αντιμετώπιση, η ζωντανή αξιολόγηση σε πραγματική στοίβα Mininet/OVS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χρονοσημάνσεις μονότονου ρολογιού (απόφαση στα 1,16 s με άμεση χρονοσήμανση, πρώτο απορριφθέν πακέτο περίπου στα 1,5 s με ακρίβεια δειγματοληψίας ±0,5 s), ενώ η νόμιμη κίνηση δεν επηρεάστηκε σε κανένα στάδιο. Όταν η κακόβουλη κίνηση παύει, ο αποκλεισμός αίρεται αυτόματα, ώστε η αντιμετώπιση να μην είναι μόνιμη.</w:t>
      </w:r>
      <w:r/>
      <w:r w:rsidRPr="00394963">
        <w:rPr>
          <w:lang w:val="el-GR"/>
        </w:rPr>
      </w:r>
      <w:r/>
      <w:r w:rsidRPr="00394963">
        <w:rPr>
          <w:lang w:val="el-GR"/>
        </w:rPr>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επιδεικνύει end-to-end λειτουργία στο packet-level σενάριο πλημμύρας SYN και παρουσιάζει σημαντικά βελτιωμένη ανθεκτικότητα στις εξετασθείσες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roofErr w:type="spellStart"/>
      <w:r w:rsidRPr="00394963">
        <w:rPr>
          <w:lang w:val="el-GR"/>
        </w:rPr>
      </w:r>
      <w:proofErr w:type="spellEnd"/>
      <w:r w:rsidRPr="00394963">
        <w:rPr>
          <w:lang w:val="el-GR"/>
        </w:rPr>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359B2CB8" w14:textId="77777777" w:rsidR="009E7704" w:rsidRPr="00125A06" w:rsidRDefault="00AD61C4">
      <w:pPr>
        <w:spacing w:after="160"/>
        <w:ind w:left="454" w:hanging="454"/>
        <w:rPr>
          <w:lang w:val="en-GB"/>
        </w:rPr>
      </w:pPr>
      <w:r w:rsidRPr="0083506F">
        <w:rPr>
          <w:b/>
          <w:sz w:val="22"/>
          <w:lang w:val="en-GB"/>
        </w:rPr>
        <w:t>[24]  A. Hamarshe, H. I. Ashqar, and M. Hamarsheh, "Detection of DDoS attacks in software defined networking using machine learning models," arXiv preprint arXiv:2303.06513, 2023.</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14:paraId="359B2CB8" w14:textId="77777777" w:rsidR="009E7704" w:rsidRPr="00125A06" w:rsidRDefault="00AD61C4">
      <w:pPr>
        <w:spacing w:after="160"/>
        <w:ind w:left="454" w:hanging="454"/>
        <w:rPr>
          <w:lang w:val="en-GB"/>
        </w:rPr>
      </w:pPr>
      <w:r w:rsidRPr="0083506F">
        <w:rPr>
          <w:b/>
          <w:sz w:val="22"/>
          <w:lang w:val="en-GB"/>
        </w:rPr>
        <w:t>[25]  R. Jafari Gohari, L. Aliahmadipour, and M. Kuchaki Rafsanjani, "CTMBIDS: Convolutional Tsetlin machine based intrusion detection system for DDoS attacks in an SDN environment," arXiv preprint arXiv:2409.03544, 2024.</w:t>
      </w:r>
      <w:proofErr w:type="gramStart"/>
      <w:r w:rsidRPr="0083506F">
        <w:rPr>
          <w:b/>
          <w:sz w:val="22"/>
          <w:lang w:val="en-GB"/>
        </w:rPr>
      </w:r>
      <w:proofErr w:type="gramEnd"/>
      <w:r w:rsidRPr="0083506F">
        <w:rPr>
          <w:b/>
          <w:sz w:val="22"/>
          <w:lang w:val="en-GB"/>
        </w:rPr>
      </w:r>
      <w:proofErr w:type="spellStart"/>
      <w:r w:rsidRPr="0083506F">
        <w:rPr>
          <w:b/>
          <w:sz w:val="22"/>
          <w:lang w:val="en-GB"/>
        </w:rPr>
      </w:r>
      <w:proofErr w:type="spellEnd"/>
      <w:r w:rsidRPr="0083506F">
        <w:rPr>
          <w:b/>
          <w:sz w:val="22"/>
          <w:lang w:val="en-GB"/>
        </w:rPr>
      </w:r>
      <w:proofErr w:type="spellStart"/>
      <w:r w:rsidRPr="00125A06">
        <w:rPr>
          <w:b/>
          <w:sz w:val="22"/>
          <w:lang w:val="en-GB"/>
        </w:rPr>
      </w:r>
      <w:proofErr w:type="spellEnd"/>
      <w:r w:rsidRPr="00125A06">
        <w:rPr>
          <w:b/>
          <w:sz w:val="22"/>
          <w:lang w:val="en-GB"/>
        </w:rPr>
      </w:r>
      <w:proofErr w:type="spellStart"/>
      <w:r w:rsidRPr="00125A06">
        <w:rPr>
          <w:b/>
          <w:sz w:val="22"/>
          <w:lang w:val="en-GB"/>
        </w:rPr>
      </w:r>
      <w:proofErr w:type="spellEnd"/>
      <w:r w:rsidRPr="00125A06">
        <w:rPr>
          <w:b/>
          <w:sz w:val="22"/>
          <w:lang w:val="en-GB"/>
        </w:rPr>
      </w:r>
    </w:p>
    <w:p>
      <w:pPr/>
      <w:r>
        <w:t>[26]  K. He, D. D. Kim, and M. R. Asghar, "Adversarial machine learning for network intrusion detection systems: A comprehensive survey," IEEE Commun. Surveys Tuts., vol. 25, no. 1, pp. 538-566, 2023, doi: 10.1109/COMST.2022.3233793.</w:t>
      </w:r>
    </w:p>
    <w:p>
      <w:pPr/>
      <w:r>
        <w:t>[27]  P. Goldschmidt and D. Chudá, "Network intrusion datasets: A survey, limitations, and recommendations," Comput. Secur., vol. 156, Art. no. 104510, 2025, doi: 10.1016/j.cose.2025.104510.</w:t>
      </w:r>
    </w:p>
    <w:p>
      <w:pPr/>
      <w:r>
        <w:t>[28]  A. H. Janabi, T. Kanakis, and M. Johnson, "Survey: Intrusion detection system in software-defined networking," IEEE Access, vol. 12, pp. 164097-164120, 2024, doi: 10.1109/ACCESS.2024.3493384.</w:t>
      </w:r>
    </w:p>
    <w:p>
      <w:pPr/>
      <w:r>
        <w:t>[29]  S. M. Doğan, A. Koçak, and M. Alkan, "Detection and mitigation of cyber-attacks in software defined networks using machine learning/deep learning: A systematic literature review, research challenges and future directions," Int. J. Inf. Secur., vol. 24, Art. no. 209, 2025, doi: 10.1007/s10207-025-01114-z.</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Ο βασικός κορμός των offline αποτελεσμάτων στο results/</w:t>
            </w:r>
            <w:r/>
            <w:r w:rsidRPr="0083506F">
              <w:rPr>
                <w:lang w:val="el-GR"/>
              </w:rPr>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144 tests συλλέγονται. Με πλήρη εγκατάσταση εξαρτήσεων (pip install -r requirements.txt) και χωρίς ενεργό Docker stack: 137 επιτυχή, 7 skipped (έλεγχοι Docker health), 0 αποτυχίες. Χωρίς προαιρετικές εξαρτήσεις (π.χ. Flask) τα σχετικά tests παραλείπονται, δεν αποτυγχάνουν.</w:t>
            </w:r>
            <w:proofErr w:type="spellStart"/>
            <w:r/>
            <w:proofErr w:type="spellEnd"/>
            <w:r/>
            <w:proofErr w:type="spellStart"/>
            <w:r/>
            <w:proofErr w:type="spellEnd"/>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r>
        <w:tc>
          <w:tcPr>
            <w:tcW w:type="dxa" w:w="2745"/>
          </w:tcPr>
          <w:p>
            <w:r>
              <w:t>Πλήρης αναπαραγωγή</w:t>
            </w:r>
          </w:p>
        </w:tc>
        <w:tc>
          <w:tcPr>
            <w:tcW w:type="dxa" w:w="3649"/>
          </w:tcPr>
          <w:p>
            <w:r>
              <w:t>bash reproduce_thesis.sh</w:t>
            </w:r>
          </w:p>
        </w:tc>
        <w:tc>
          <w:tcPr>
            <w:tcW w:type="dxa" w:w="2610"/>
          </w:tcPr>
          <w:p>
            <w:r>
              <w:t>ΟΛΕΣ οι μελέτες του κειμένου, με αναφορά όσων βημάτων λείπουν λόγω προαιρετικών εξαρτήσεων</w:t>
            </w:r>
          </w:p>
        </w:tc>
      </w:tr>
      <w:tr>
        <w:tc>
          <w:tcPr>
            <w:tcW w:type="dxa" w:w="2745"/>
          </w:tcPr>
          <w:p>
            <w:r>
              <w:t>Packet-level πείραμα</w:t>
            </w:r>
          </w:p>
        </w:tc>
        <w:tc>
          <w:tcPr>
            <w:tcW w:type="dxa" w:w="3649"/>
          </w:tcPr>
          <w:p>
            <w:r>
              <w:t>bash run_packet_level_experiment.sh</w:t>
            </w:r>
          </w:p>
        </w:tc>
        <w:tc>
          <w:tcPr>
            <w:tcW w:type="dxa" w:w="2610"/>
          </w:tcPr>
          <w:p>
            <w:r>
              <w:t>Πραγματικά dropped packets + κάλυψη αντιμετώπισης στο results/live/mininet_run_*/ και στο experiment_summary.csv</w:t>
            </w:r>
          </w:p>
        </w:tc>
      </w:tr>
      <w:tr>
        <w:tc>
          <w:tcPr>
            <w:tcW w:type="dxa" w:w="2745"/>
          </w:tcPr>
          <w:p>
            <w:r>
              <w:t>Επαλήθευση artifacts</w:t>
            </w:r>
          </w:p>
        </w:tc>
        <w:tc>
          <w:tcPr>
            <w:tcW w:type="dxa" w:w="3649"/>
          </w:tcPr>
          <w:p>
            <w:r>
              <w:t>python3 ml_pipeline/generate_synthetic_dataset.py &amp;&amp; sha256sum -c MANIFEST.sha256</w:t>
            </w:r>
          </w:p>
        </w:tc>
        <w:tc>
          <w:tcPr>
            <w:tcW w:type="dxa" w:w="2610"/>
          </w:tcPr>
          <w:p>
            <w:r>
              <w:t>Όλα OK. Το synthetic CSV δεν είναι στο ZIP, οπότε παράγεται πρώτα ντετερμινιστικά και μετά ταιριάζει το hash του</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