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 xml:space="preserve">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επιτυγχάνει F1-score άνω του 0,999 στο συνθετικό σύνολο και 0,945 (μακρο-F1) στο InSDN. Η τελευταία τιμή ερμηνεύεται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w:t>
      </w:r>
      <w:proofErr w:type="spellStart"/>
      <w:r w:rsidRPr="00394963">
        <w:rPr>
          <w:lang w:val="el-GR"/>
        </w:rPr>
        <w:t>false</w:t>
      </w:r>
      <w:proofErr w:type="spellEnd"/>
      <w:r w:rsidRPr="00394963">
        <w:rPr>
          <w:lang w:val="el-GR"/>
        </w:rPr>
        <w:t xml:space="preserve"> </w:t>
      </w:r>
      <w:proofErr w:type="spellStart"/>
      <w:r w:rsidRPr="00394963">
        <w:rPr>
          <w:lang w:val="el-GR"/>
        </w:rPr>
        <w:t>positives</w:t>
      </w:r>
      <w:proofErr w:type="spellEnd"/>
      <w:r w:rsidRPr="00394963">
        <w:rPr>
          <w:lang w:val="el-GR"/>
        </w:rPr>
        <w:t xml:space="preserve">)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ανθεκτικότητα σε αντίπαλες επιθέσεις. Η τελευταία ανέδειξε απότομη κατάρρευση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διαταραχή ε≈0,20. Ως αντίμετρο προτείνεται και αξιολογείται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το οποίο μειώνει τον ρυθμό </w:t>
      </w:r>
      <w:r w:rsidRPr="00394963">
        <w:rPr>
          <w:lang w:val="el-GR"/>
        </w:rPr>
        <w:lastRenderedPageBreak/>
        <w:t xml:space="preserve">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w:t>
      </w:r>
      <w:proofErr w:type="spellStart"/>
      <w:r w:rsidRPr="00394963">
        <w:rPr>
          <w:lang w:val="el-GR"/>
        </w:rPr>
        <w:t>prototype</w:t>
      </w:r>
      <w:proofErr w:type="spellEnd"/>
      <w:r w:rsidRPr="00394963">
        <w:rPr>
          <w:lang w:val="el-GR"/>
        </w:rPr>
        <w:t xml:space="preserve"> σε ελεγχόμενο περιβάλλον, με ρητή οριοθέτηση των σημείων που απαιτούν πλήρη ενσωμάτωση </w:t>
      </w:r>
      <w:proofErr w:type="spellStart"/>
      <w:r w:rsidRPr="00394963">
        <w:rPr>
          <w:lang w:val="el-GR"/>
        </w:rPr>
        <w:t>OpenFlow</w:t>
      </w:r>
      <w:proofErr w:type="spellEnd"/>
      <w:r w:rsidRPr="00394963">
        <w:rPr>
          <w:lang w:val="el-GR"/>
        </w:rPr>
        <w:t xml:space="preserve"> και ανάλυση πρωτοκόλλου.</w:t>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w:t>
      </w:r>
      <w:proofErr w:type="spellStart"/>
      <w:r>
        <w:t>generalisation</w:t>
      </w:r>
      <w:proofErr w:type="spellEnd"/>
      <w:r>
        <w:t xml:space="preserve">,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SDN αναδεικνύεται, επομένως, σε ζήτημα υψίστης σημασίας για την αξιοπιστία ολόκληρης της υποδομής.</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r>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w:t>
      </w:r>
      <w:proofErr w:type="spellStart"/>
      <w:r w:rsidRPr="00394963">
        <w:rPr>
          <w:lang w:val="el-GR"/>
        </w:rPr>
        <w:t>χρονοσειρά</w:t>
      </w:r>
      <w:proofErr w:type="spellEnd"/>
      <w:r w:rsidRPr="00394963">
        <w:rPr>
          <w:lang w:val="el-GR"/>
        </w:rPr>
        <w:t xml:space="preserve"> μετρήσεων, από την οποία, με απλή </w:t>
      </w:r>
      <w:proofErr w:type="spellStart"/>
      <w:r w:rsidRPr="00394963">
        <w:rPr>
          <w:lang w:val="el-GR"/>
        </w:rPr>
        <w:t>διαφόριση</w:t>
      </w:r>
      <w:proofErr w:type="spellEnd"/>
      <w:r w:rsidRPr="00394963">
        <w:rPr>
          <w:lang w:val="el-GR"/>
        </w:rPr>
        <w:t xml:space="preserve">, προκύπτει η δραστηριότητα κάθε παραθύρου. Η προσέγγιση αυτή είναι ελαφριά, μη παρεμβατική και </w:t>
      </w:r>
      <w:proofErr w:type="spellStart"/>
      <w:r w:rsidRPr="00394963">
        <w:rPr>
          <w:lang w:val="el-GR"/>
        </w:rPr>
        <w:t>κλιμακώσιμη</w:t>
      </w:r>
      <w:proofErr w:type="spellEnd"/>
      <w:r w:rsidRPr="00394963">
        <w:rPr>
          <w:lang w:val="el-GR"/>
        </w:rPr>
        <w:t>,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3D12BF4F" w14:textId="77777777" w:rsidR="009E7704"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pPr/>
      <w:r>
        <w:rPr>
          <w:b w:val="0"/>
          <w:i w:val="0"/>
        </w:rPr>
        <w:t>Πριν από την ταξινόμηση, οι εξεταζόμενες απειλές συνοψίζονται σε ένα τυπικό μοντέλο απειλών (threat model), το οποίο για κάθε κατηγορία επίθεσης προσδιορίζει ρητά την ικανότητα του επιτιθέμενου, το προστατευόμενο αγαθό (asset), το σημείο εισόδου, τη βασική παραδοχή και τον αντίκτυπο. Το μοντέλο αυτό οριοθετεί τι καλύπτει και τι δεν καλύπτει η προτεινόμενη άμυνα.</w:t>
      </w:r>
    </w:p>
    <w:p>
      <w:pPr>
        <w:pStyle w:val="af0"/>
        <w:jc w:val="center"/>
      </w:pPr>
      <w:r>
        <w:rPr>
          <w:b w:val="0"/>
          <w:i/>
          <w:sz w:val="20"/>
        </w:rPr>
        <w:t>Πίνακας 3-1: Τυπικό μοντέλο απειλών των εξεταζόμενων επιθέσεων.</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6"/>
              </w:rPr>
              <w:t>Ικανότητα επιτιθέμενου</w:t>
            </w:r>
          </w:p>
        </w:tc>
        <w:tc>
          <w:tcPr>
            <w:tcW w:type="dxa" w:w="1758"/>
          </w:tcPr>
          <w:p>
            <w:r/>
            <w:r>
              <w:rPr>
                <w:b/>
                <w:sz w:val="16"/>
              </w:rPr>
              <w:t>Αγαθό (asset)</w:t>
            </w:r>
          </w:p>
        </w:tc>
        <w:tc>
          <w:tcPr>
            <w:tcW w:type="dxa" w:w="1758"/>
          </w:tcPr>
          <w:p>
            <w:r/>
            <w:r>
              <w:rPr>
                <w:b/>
                <w:sz w:val="16"/>
              </w:rPr>
              <w:t>Σημείο εισόδου</w:t>
            </w:r>
          </w:p>
        </w:tc>
        <w:tc>
          <w:tcPr>
            <w:tcW w:type="dxa" w:w="1758"/>
          </w:tcPr>
          <w:p>
            <w:r/>
            <w:r>
              <w:rPr>
                <w:b/>
                <w:sz w:val="16"/>
              </w:rPr>
              <w:t>Παραδοχή</w:t>
            </w:r>
          </w:p>
        </w:tc>
        <w:tc>
          <w:tcPr>
            <w:tcW w:type="dxa" w:w="1758"/>
          </w:tcPr>
          <w:p>
            <w:r/>
            <w:r>
              <w:rPr>
                <w:b/>
                <w:sz w:val="16"/>
              </w:rPr>
              <w:t>Αντίκτυπος</w:t>
            </w:r>
          </w:p>
        </w:tc>
      </w:tr>
      <w:tr>
        <w:tc>
          <w:tcPr>
            <w:tcW w:type="dxa" w:w="1758"/>
          </w:tcPr>
          <w:p>
            <w:r/>
            <w:r>
              <w:rPr>
                <w:sz w:val="16"/>
              </w:rPr>
              <w:t>Εξωτερικός host υψηλού ρυθμού (DDoS/SYN flood)</w:t>
            </w:r>
          </w:p>
        </w:tc>
        <w:tc>
          <w:tcPr>
            <w:tcW w:type="dxa" w:w="1758"/>
          </w:tcPr>
          <w:p>
            <w:r/>
            <w:r>
              <w:rPr>
                <w:sz w:val="16"/>
              </w:rPr>
              <w:t>Διαθεσιμότητα θύματος και ελεγκτή</w:t>
            </w:r>
          </w:p>
        </w:tc>
        <w:tc>
          <w:tcPr>
            <w:tcW w:type="dxa" w:w="1758"/>
          </w:tcPr>
          <w:p>
            <w:r/>
            <w:r>
              <w:rPr>
                <w:sz w:val="16"/>
              </w:rPr>
              <w:t>Επίπεδο δεδομένων (νόμιμος host)</w:t>
            </w:r>
          </w:p>
        </w:tc>
        <w:tc>
          <w:tcPr>
            <w:tcW w:type="dxa" w:w="1758"/>
          </w:tcPr>
          <w:p>
            <w:r/>
            <w:r>
              <w:rPr>
                <w:sz w:val="16"/>
              </w:rPr>
              <w:t>Δεν κατέχει διαπιστευτήρια διαχείρισης</w:t>
            </w:r>
          </w:p>
        </w:tc>
        <w:tc>
          <w:tcPr>
            <w:tcW w:type="dxa" w:w="1758"/>
          </w:tcPr>
          <w:p>
            <w:r/>
            <w:r>
              <w:rPr>
                <w:sz w:val="16"/>
              </w:rPr>
              <w:t>Άρνηση εξυπηρέτησης, κορεσμός πόρων</w:t>
            </w:r>
          </w:p>
        </w:tc>
      </w:tr>
      <w:tr>
        <w:tc>
          <w:tcPr>
            <w:tcW w:type="dxa" w:w="1758"/>
          </w:tcPr>
          <w:p>
            <w:r/>
            <w:r>
              <w:rPr>
                <w:sz w:val="16"/>
              </w:rPr>
              <w:t>Επιτιθέμενος που παράγει πλήθος άγνωστων ροών (table-miss flooding)</w:t>
            </w:r>
          </w:p>
        </w:tc>
        <w:tc>
          <w:tcPr>
            <w:tcW w:type="dxa" w:w="1758"/>
          </w:tcPr>
          <w:p>
            <w:r/>
            <w:r>
              <w:rPr>
                <w:sz w:val="16"/>
              </w:rPr>
              <w:t>Πίνακας ροών και κανάλι ελέγχου</w:t>
            </w:r>
          </w:p>
        </w:tc>
        <w:tc>
          <w:tcPr>
            <w:tcW w:type="dxa" w:w="1758"/>
          </w:tcPr>
          <w:p>
            <w:r/>
            <w:r>
              <w:rPr>
                <w:sz w:val="16"/>
              </w:rPr>
              <w:t>Επίπεδο δεδομένων</w:t>
            </w:r>
          </w:p>
        </w:tc>
        <w:tc>
          <w:tcPr>
            <w:tcW w:type="dxa" w:w="1758"/>
          </w:tcPr>
          <w:p>
            <w:r/>
            <w:r>
              <w:rPr>
                <w:sz w:val="16"/>
              </w:rPr>
              <w:t>Κάθε άγνωστη ροή προκαλεί Packet-In</w:t>
            </w:r>
          </w:p>
        </w:tc>
        <w:tc>
          <w:tcPr>
            <w:tcW w:type="dxa" w:w="1758"/>
          </w:tcPr>
          <w:p>
            <w:r/>
            <w:r>
              <w:rPr>
                <w:sz w:val="16"/>
              </w:rPr>
              <w:t>Κορεσμός ελεγκτή, καθυστέρηση</w:t>
            </w:r>
          </w:p>
        </w:tc>
      </w:tr>
      <w:tr>
        <w:tc>
          <w:tcPr>
            <w:tcW w:type="dxa" w:w="1758"/>
          </w:tcPr>
          <w:p>
            <w:r/>
            <w:r>
              <w:rPr>
                <w:sz w:val="16"/>
              </w:rPr>
              <w:t>Κακόβουλος/παραβιασμένος host στο ίδιο LAN (ARP spoof/MITM)</w:t>
            </w:r>
          </w:p>
        </w:tc>
        <w:tc>
          <w:tcPr>
            <w:tcW w:type="dxa" w:w="1758"/>
          </w:tcPr>
          <w:p>
            <w:r/>
            <w:r>
              <w:rPr>
                <w:sz w:val="16"/>
              </w:rPr>
              <w:t>Ακεραιότητα κίνησης θύματος</w:t>
            </w:r>
          </w:p>
        </w:tc>
        <w:tc>
          <w:tcPr>
            <w:tcW w:type="dxa" w:w="1758"/>
          </w:tcPr>
          <w:p>
            <w:r/>
            <w:r>
              <w:rPr>
                <w:sz w:val="16"/>
              </w:rPr>
              <w:t>Επίπεδο δεδομένων (L2)</w:t>
            </w:r>
          </w:p>
        </w:tc>
        <w:tc>
          <w:tcPr>
            <w:tcW w:type="dxa" w:w="1758"/>
          </w:tcPr>
          <w:p>
            <w:r/>
            <w:r>
              <w:rPr>
                <w:sz w:val="16"/>
              </w:rPr>
              <w:t>Καμία αυθεντικοποίηση IP προς MAC</w:t>
            </w:r>
          </w:p>
        </w:tc>
        <w:tc>
          <w:tcPr>
            <w:tcW w:type="dxa" w:w="1758"/>
          </w:tcPr>
          <w:p>
            <w:r/>
            <w:r>
              <w:rPr>
                <w:sz w:val="16"/>
              </w:rPr>
              <w:t>Υποκλοπή/αλλοίωση, χωρίς έντονο στατιστικό αποτύπωμα</w:t>
            </w:r>
          </w:p>
        </w:tc>
      </w:tr>
      <w:tr>
        <w:tc>
          <w:tcPr>
            <w:tcW w:type="dxa" w:w="1758"/>
          </w:tcPr>
          <w:p>
            <w:r/>
            <w:r>
              <w:rPr>
                <w:sz w:val="16"/>
              </w:rPr>
              <w:t>Επιτιθέμενος που πλαστογραφεί τηλεμετρία (flow-injection)</w:t>
            </w:r>
          </w:p>
        </w:tc>
        <w:tc>
          <w:tcPr>
            <w:tcW w:type="dxa" w:w="1758"/>
          </w:tcPr>
          <w:p>
            <w:r/>
            <w:r>
              <w:rPr>
                <w:sz w:val="16"/>
              </w:rPr>
              <w:t>Ακεραιότητα διαδικασίας απόφασης</w:t>
            </w:r>
          </w:p>
        </w:tc>
        <w:tc>
          <w:tcPr>
            <w:tcW w:type="dxa" w:w="1758"/>
          </w:tcPr>
          <w:p>
            <w:r/>
            <w:r>
              <w:rPr>
                <w:sz w:val="16"/>
              </w:rPr>
              <w:t>Southbound διεπαφή του ελεγκτή</w:t>
            </w:r>
          </w:p>
        </w:tc>
        <w:tc>
          <w:tcPr>
            <w:tcW w:type="dxa" w:w="1758"/>
          </w:tcPr>
          <w:p>
            <w:r/>
            <w:r>
              <w:rPr>
                <w:sz w:val="16"/>
              </w:rPr>
              <w:t>Χωρίς αυθεντικοποίηση, ο ελεγκτής θα εμπιστευόταν την τηλεμετρία</w:t>
            </w:r>
          </w:p>
        </w:tc>
        <w:tc>
          <w:tcPr>
            <w:tcW w:type="dxa" w:w="1758"/>
          </w:tcPr>
          <w:p>
            <w:r/>
            <w:r>
              <w:rPr>
                <w:sz w:val="16"/>
              </w:rPr>
              <w:t>Ενοχοποίηση νόμιμου host, εσφαλμένος αποκλεισμός</w:t>
            </w:r>
          </w:p>
        </w:tc>
      </w:tr>
      <w:tr>
        <w:tc>
          <w:tcPr>
            <w:tcW w:type="dxa" w:w="1758"/>
          </w:tcPr>
          <w:p>
            <w:r/>
            <w:r>
              <w:rPr>
                <w:sz w:val="16"/>
              </w:rPr>
              <w:t>Παραβιασμένη εφαρμογή (εσωτερική απειλή)</w:t>
            </w:r>
          </w:p>
        </w:tc>
        <w:tc>
          <w:tcPr>
            <w:tcW w:type="dxa" w:w="1758"/>
          </w:tcPr>
          <w:p>
            <w:r/>
            <w:r>
              <w:rPr>
                <w:sz w:val="16"/>
              </w:rPr>
              <w:t>Πολιτική ελέγχου του δικτύου</w:t>
            </w:r>
          </w:p>
        </w:tc>
        <w:tc>
          <w:tcPr>
            <w:tcW w:type="dxa" w:w="1758"/>
          </w:tcPr>
          <w:p>
            <w:r/>
            <w:r>
              <w:rPr>
                <w:sz w:val="16"/>
              </w:rPr>
              <w:t>Northbound διεπαφή</w:t>
            </w:r>
          </w:p>
        </w:tc>
        <w:tc>
          <w:tcPr>
            <w:tcW w:type="dxa" w:w="1758"/>
          </w:tcPr>
          <w:p>
            <w:r/>
            <w:r>
              <w:rPr>
                <w:sz w:val="16"/>
              </w:rPr>
              <w:t>Η εφαρμογή έχει νόμιμη πρόσβαση στη βόρεια διεπαφή</w:t>
            </w:r>
          </w:p>
        </w:tc>
        <w:tc>
          <w:tcPr>
            <w:tcW w:type="dxa" w:w="1758"/>
          </w:tcPr>
          <w:p>
            <w:r/>
            <w:r>
              <w:rPr>
                <w:sz w:val="16"/>
              </w:rPr>
              <w:t>Καθολικός έλεγχος του δικτύου</w:t>
            </w:r>
          </w:p>
        </w:tc>
      </w:tr>
      <w:tr>
        <w:tc>
          <w:tcPr>
            <w:tcW w:type="dxa" w:w="1758"/>
          </w:tcPr>
          <w:p>
            <w:r/>
            <w:r>
              <w:rPr>
                <w:sz w:val="16"/>
              </w:rPr>
              <w:t>Επιτιθέμενος αναγνώρισης (σάρωση/πλευρική κίνηση)</w:t>
            </w:r>
          </w:p>
        </w:tc>
        <w:tc>
          <w:tcPr>
            <w:tcW w:type="dxa" w:w="1758"/>
          </w:tcPr>
          <w:p>
            <w:r/>
            <w:r>
              <w:rPr>
                <w:sz w:val="16"/>
              </w:rPr>
              <w:t>Εμπιστευτικότητα τοπολογίας/υπηρεσιών</w:t>
            </w:r>
          </w:p>
        </w:tc>
        <w:tc>
          <w:tcPr>
            <w:tcW w:type="dxa" w:w="1758"/>
          </w:tcPr>
          <w:p>
            <w:r/>
            <w:r>
              <w:rPr>
                <w:sz w:val="16"/>
              </w:rPr>
              <w:t>Επίπεδο δεδομένων</w:t>
            </w:r>
          </w:p>
        </w:tc>
        <w:tc>
          <w:tcPr>
            <w:tcW w:type="dxa" w:w="1758"/>
          </w:tcPr>
          <w:p>
            <w:r/>
            <w:r>
              <w:rPr>
                <w:sz w:val="16"/>
              </w:rPr>
              <w:t>Χαμηλού όγκου, διακριτική δραστηριότητα</w:t>
            </w:r>
          </w:p>
        </w:tc>
        <w:tc>
          <w:tcPr>
            <w:tcW w:type="dxa" w:w="1758"/>
          </w:tcPr>
          <w:p>
            <w:r/>
            <w:r>
              <w:rPr>
                <w:sz w:val="16"/>
              </w:rPr>
              <w:t>Χαρτογράφηση δικτύου, προετοιμασία επόμενου σταδίου</w:t>
            </w:r>
          </w:p>
        </w:tc>
      </w:tr>
    </w:tbl>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3-2: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τα αποστέλλει στον ελεγκτή μέσω του </w:t>
      </w:r>
      <w:proofErr w:type="spellStart"/>
      <w:r w:rsidRPr="00394963">
        <w:rPr>
          <w:lang w:val="el-GR"/>
        </w:rPr>
        <w:t>endpoint</w:t>
      </w:r>
      <w:proofErr w:type="spellEnd"/>
      <w:r w:rsidRPr="00394963">
        <w:rPr>
          <w:lang w:val="el-GR"/>
        </w:rPr>
        <w:t xml:space="preserve"> τηλεμετρίας. Για τον σκοπό αυτό εγκαθίστανται κανόνες ροής ανά ζεύγος διευθύνσεων (</w:t>
      </w:r>
      <w:proofErr w:type="spellStart"/>
      <w:r w:rsidRPr="00394963">
        <w:rPr>
          <w:lang w:val="el-GR"/>
        </w:rPr>
        <w:t>nw_src</w:t>
      </w:r>
      <w:proofErr w:type="spellEnd"/>
      <w:r w:rsidRPr="00394963">
        <w:rPr>
          <w:lang w:val="el-GR"/>
        </w:rPr>
        <w:t xml:space="preserve">, </w:t>
      </w:r>
      <w:proofErr w:type="spellStart"/>
      <w:r w:rsidRPr="00394963">
        <w:rPr>
          <w:lang w:val="el-GR"/>
        </w:rPr>
        <w:t>nw_dst</w:t>
      </w:r>
      <w:proofErr w:type="spellEnd"/>
      <w:r w:rsidRPr="00394963">
        <w:rPr>
          <w:lang w:val="el-GR"/>
        </w:rPr>
        <w: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w:t>
      </w:r>
      <w:proofErr w:type="spellStart"/>
      <w:r w:rsidRPr="00394963">
        <w:rPr>
          <w:lang w:val="el-GR"/>
        </w:rPr>
        <w:t>source</w:t>
      </w:r>
      <w:proofErr w:type="spellEnd"/>
      <w:r w:rsidRPr="00394963">
        <w:rPr>
          <w:lang w:val="el-GR"/>
        </w:rPr>
        <w:t>–</w:t>
      </w:r>
      <w:proofErr w:type="spellStart"/>
      <w:r w:rsidRPr="00394963">
        <w:rPr>
          <w:lang w:val="el-GR"/>
        </w:rPr>
        <w:t>destination</w:t>
      </w:r>
      <w:proofErr w:type="spellEnd"/>
      <w:r w:rsidRPr="00394963">
        <w:rPr>
          <w:lang w:val="el-GR"/>
        </w:rPr>
        <w:t xml:space="preserve"> </w:t>
      </w:r>
      <w:proofErr w:type="spellStart"/>
      <w:r w:rsidRPr="00394963">
        <w:rPr>
          <w:lang w:val="el-GR"/>
        </w:rPr>
        <w:t>flow</w:t>
      </w:r>
      <w:proofErr w:type="spellEnd"/>
      <w:r w:rsidRPr="00394963">
        <w:rPr>
          <w:lang w:val="el-GR"/>
        </w:rPr>
        <w:t xml:space="preserve"> </w:t>
      </w:r>
      <w:proofErr w:type="spellStart"/>
      <w:r w:rsidRPr="00394963">
        <w:rPr>
          <w:lang w:val="el-GR"/>
        </w:rPr>
        <w:t>aggregation</w:t>
      </w:r>
      <w:proofErr w:type="spellEnd"/>
      <w:r w:rsidRPr="00394963">
        <w:rPr>
          <w:lang w:val="el-GR"/>
        </w:rPr>
        <w:t xml:space="preserve">) και όχι ανά πλήρη 5-tuple ροή: οι κανόνες δεν διακρίνουν πρωτόκολλο ούτε θύρες προέλευσης/προορισμού, οπότε το </w:t>
      </w:r>
      <w:proofErr w:type="spellStart"/>
      <w:r w:rsidRPr="00394963">
        <w:rPr>
          <w:lang w:val="el-GR"/>
        </w:rPr>
        <w:t>flow_count</w:t>
      </w:r>
      <w:proofErr w:type="spellEnd"/>
      <w:r w:rsidRPr="00394963">
        <w:rPr>
          <w:lang w:val="el-GR"/>
        </w:rPr>
        <w:t xml:space="preserve">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w:t>
      </w:r>
      <w:proofErr w:type="spellStart"/>
      <w:r w:rsidRPr="00394963">
        <w:rPr>
          <w:lang w:val="el-GR"/>
        </w:rPr>
        <w:t>flow_count</w:t>
      </w:r>
      <w:proofErr w:type="spellEnd"/>
      <w:r w:rsidRPr="00394963">
        <w:rPr>
          <w:lang w:val="el-GR"/>
        </w:rPr>
        <w:t xml:space="preserve">, </w:t>
      </w:r>
      <w:proofErr w:type="spellStart"/>
      <w:r w:rsidRPr="00394963">
        <w:rPr>
          <w:lang w:val="el-GR"/>
        </w:rPr>
        <w:t>short_flow_ratio</w:t>
      </w:r>
      <w:proofErr w:type="spellEnd"/>
      <w:r w:rsidRPr="00394963">
        <w:rPr>
          <w:lang w:val="el-GR"/>
        </w:rPr>
        <w:t xml:space="preserve">,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σε κάθε πηγή που ταξινομείται ως επιτιθέμενη, εγκαθίσταται αυτόματα κανόνας απόρριψης. Το σενάριο εκτελείται σε δύο φάσεις: μια φάση νόμιμης κίνησης (</w:t>
      </w:r>
      <w:proofErr w:type="spellStart"/>
      <w:r w:rsidRPr="00394963">
        <w:rPr>
          <w:lang w:val="el-GR"/>
        </w:rPr>
        <w:t>ping</w:t>
      </w:r>
      <w:proofErr w:type="spellEnd"/>
      <w:r w:rsidRPr="00394963">
        <w:rPr>
          <w:lang w:val="el-GR"/>
        </w:rPr>
        <w:t>) και μια φάση επίθεσης (hping3 --</w:t>
      </w:r>
      <w:proofErr w:type="spellStart"/>
      <w:r w:rsidRPr="00394963">
        <w:rPr>
          <w:lang w:val="el-GR"/>
        </w:rPr>
        <w:t>syn</w:t>
      </w:r>
      <w:proofErr w:type="spellEnd"/>
      <w:r w:rsidRPr="00394963">
        <w:rPr>
          <w:lang w:val="el-GR"/>
        </w:rPr>
        <w:t xml:space="preserve"> --</w:t>
      </w:r>
      <w:proofErr w:type="spellStart"/>
      <w:r w:rsidRPr="00394963">
        <w:rPr>
          <w:lang w:val="el-GR"/>
        </w:rPr>
        <w:t>flood</w:t>
      </w:r>
      <w:proofErr w:type="spellEnd"/>
      <w:r w:rsidRPr="00394963">
        <w:rPr>
          <w:lang w:val="el-GR"/>
        </w:rPr>
        <w:t>),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proofErr w:type="spellStart"/>
      <w:r>
        <w:t>ovs</w:t>
      </w:r>
      <w:proofErr w:type="spellEnd"/>
      <w:r w:rsidRPr="00394963">
        <w:rPr>
          <w:lang w:val="el-GR"/>
        </w:rPr>
        <w:t>-</w:t>
      </w:r>
      <w:proofErr w:type="spellStart"/>
      <w:r>
        <w:t>ofctl</w:t>
      </w:r>
      <w:proofErr w:type="spellEnd"/>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InSDN. Το υψηλότερο μακρο-F1 επιτυγχάνεται οριακά από τον KNN (0,952), με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να ακολουθεί (0,945).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proofErr w:type="spellStart"/>
      <w:r w:rsidRPr="00394963">
        <w:rPr>
          <w:lang w:val="el-GR"/>
        </w:rPr>
        <w:t>Logistic</w:t>
      </w:r>
      <w:proofErr w:type="spellEnd"/>
      <w:r w:rsidRPr="00394963">
        <w:rPr>
          <w:lang w:val="el-GR"/>
        </w:rPr>
        <w:t xml:space="preserve"> </w:t>
      </w:r>
      <w:proofErr w:type="spellStart"/>
      <w:r w:rsidRPr="00394963">
        <w:rPr>
          <w:lang w:val="el-GR"/>
        </w:rPr>
        <w:t>Regression</w:t>
      </w:r>
      <w:proofErr w:type="spellEnd"/>
      <w:r w:rsidRPr="00394963">
        <w:rPr>
          <w:lang w:val="el-GR"/>
        </w:rPr>
        <w:t xml:space="preserve">)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w:t>
      </w:r>
      <w:proofErr w:type="spellStart"/>
      <w:r w:rsidRPr="00394963">
        <w:rPr>
          <w:lang w:val="el-GR"/>
        </w:rPr>
        <w:t>pipeline</w:t>
      </w:r>
      <w:proofErr w:type="spellEnd"/>
      <w:r w:rsidRPr="00394963">
        <w:rPr>
          <w:lang w:val="el-GR"/>
        </w:rPr>
        <w:t xml:space="preserv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 xml:space="preserve">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w:t>
      </w:r>
      <w:proofErr w:type="spellStart"/>
      <w:r w:rsidRPr="00394963">
        <w:rPr>
          <w:lang w:val="el-GR"/>
        </w:rPr>
        <w:t>hosts</w:t>
      </w:r>
      <w:proofErr w:type="spellEnd"/>
      <w:r w:rsidRPr="00394963">
        <w:rPr>
          <w:lang w:val="el-GR"/>
        </w:rPr>
        <w:t xml:space="preserve">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w:t>
      </w:r>
      <w:proofErr w:type="spellStart"/>
      <w:r w:rsidRPr="00394963">
        <w:rPr>
          <w:lang w:val="el-GR"/>
        </w:rPr>
        <w:t>false</w:t>
      </w:r>
      <w:proofErr w:type="spellEnd"/>
      <w:r w:rsidRPr="00394963">
        <w:rPr>
          <w:lang w:val="el-GR"/>
        </w:rPr>
        <w:t xml:space="preserve"> </w:t>
      </w:r>
      <w:proofErr w:type="spellStart"/>
      <w:r w:rsidRPr="00394963">
        <w:rPr>
          <w:lang w:val="el-GR"/>
        </w:rPr>
        <w:t>negatives</w:t>
      </w:r>
      <w:proofErr w:type="spellEnd"/>
      <w:r w:rsidRPr="00394963">
        <w:rPr>
          <w:lang w:val="el-GR"/>
        </w:rPr>
        <w:t xml:space="preserve">))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w:t>
      </w:r>
      <w:proofErr w:type="spellStart"/>
      <w:r w:rsidRPr="00394963">
        <w:rPr>
          <w:lang w:val="el-GR"/>
        </w:rPr>
        <w:t>πρωτοκολλικής</w:t>
      </w:r>
      <w:proofErr w:type="spellEnd"/>
      <w:r w:rsidRPr="00394963">
        <w:rPr>
          <w:lang w:val="el-GR"/>
        </w:rPr>
        <w:t xml:space="preserve">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w:t>
      </w:r>
      <w:r w:rsidRPr="00394963">
        <w:rPr>
          <w:lang w:val="el-GR"/>
        </w:rPr>
        <w:lastRenderedPageBreak/>
        <w:t>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results/live/.</w:t>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r/>
      <w:r w:rsidRPr="0083506F">
        <w:rPr>
          <w:lang w:val="el-GR"/>
        </w:rPr>
      </w:r>
      <w:r/>
      <w:r w:rsidRPr="0083506F">
        <w:rPr>
          <w:lang w:val="el-GR"/>
        </w:rPr>
      </w:r>
    </w:p>
    <w:p>
      <w:pPr/>
      <w:r>
        <w:t>Η ίδια πραγματική στοίβα χρησιμοποιήθηκε για να μετρηθεί η αποτελεσματικότητα της αντιμετώπισης σε επίθεση διάρκειας μεγαλύτερης από ένα TTL, ώστε να ελεγχθεί αν ο κανόνας απόρριψης καλύπτει ολόκληρη την επίθεση. Σε επίθεση εξήντα δευτερολέπτων με TTL δέκα δευτερολέπτων, οι καθυστερήσεις μετρήθηκαν με μονότονο ρολόι από τη στιγμή εκκίνησης της επίθεσης: πρώτη κακόβουλη τηλεμετρία στα 1,14 s, απόφαση του μοντέλου στα 1,16 s, εγκατάσταση κανόνα στα 1,17 s και πρώτο πραγματικά απορριφθέν πακέτο στα 1,48 s.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lease,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(ping νόμιμου host με μηδενική απώλεια και σταθερό RTT), ενώ ο ελεγκτής ενημερωνόταν για κάθε ανανέωση μέσω ειδικής διεπαφής επιβολής, ώστε ο πίνακας ροών του και το data plane να μη λήγουν σε διαφορετικές στιγμές.</w:t>
      </w:r>
    </w:p>
    <w:p>
      <w:pPr/>
      <w: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pPr>
        <w:pStyle w:val="af0"/>
        <w:jc w:val="center"/>
      </w:pPr>
      <w:r>
        <w:rPr>
          <w:i/>
          <w:sz w:val="20"/>
        </w:rPr>
        <w:t>Πίνακας 6-12: Κάλυψη αντιμετώπισης σε πραγματική packet-level εκτέλεση (επίθεση 60 s), συναρτήσει του χρόνου ζωής του κανόνα και της ανανέωσης.</w:t>
      </w:r>
    </w:p>
    <w:tbl>
      <w:tblPr>
        <w:tblStyle w:val="afa"/>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r>
              <w:rPr>
                <w:b/>
                <w:sz w:val="18"/>
              </w:rPr>
              <w:t>Ρύθμιση</w:t>
            </w:r>
          </w:p>
        </w:tc>
        <w:tc>
          <w:tcPr>
            <w:tcW w:type="dxa" w:w="1255"/>
          </w:tcPr>
          <w:p>
            <w:r/>
            <w:r>
              <w:rPr>
                <w:b/>
                <w:sz w:val="18"/>
              </w:rPr>
              <w:t>TTL (s)</w:t>
            </w:r>
          </w:p>
        </w:tc>
        <w:tc>
          <w:tcPr>
            <w:tcW w:type="dxa" w:w="1255"/>
          </w:tcPr>
          <w:p>
            <w:r/>
            <w:r>
              <w:rPr>
                <w:b/>
                <w:sz w:val="18"/>
              </w:rPr>
              <w:t>Ανανέωση</w:t>
            </w:r>
          </w:p>
        </w:tc>
        <w:tc>
          <w:tcPr>
            <w:tcW w:type="dxa" w:w="1255"/>
          </w:tcPr>
          <w:p>
            <w:r/>
            <w:r>
              <w:rPr>
                <w:b/>
                <w:sz w:val="18"/>
              </w:rPr>
              <w:t>Κάλυψη (συνολ.)</w:t>
            </w:r>
          </w:p>
        </w:tc>
        <w:tc>
          <w:tcPr>
            <w:tcW w:type="dxa" w:w="1255"/>
          </w:tcPr>
          <w:p>
            <w:r/>
            <w:r>
              <w:rPr>
                <w:b/>
                <w:sz w:val="18"/>
              </w:rPr>
              <w:t>Κάλυψη (μετά ανίχν.)</w:t>
            </w:r>
          </w:p>
        </w:tc>
        <w:tc>
          <w:tcPr>
            <w:tcW w:type="dxa" w:w="1255"/>
          </w:tcPr>
          <w:p>
            <w:r/>
            <w:r>
              <w:rPr>
                <w:b/>
                <w:sz w:val="18"/>
              </w:rPr>
              <w:t>Leases (ανανεώσεις)</w:t>
            </w:r>
          </w:p>
        </w:tc>
        <w:tc>
          <w:tcPr>
            <w:tcW w:type="dxa" w:w="1255"/>
          </w:tcPr>
          <w:p>
            <w:r/>
            <w:r>
              <w:rPr>
                <w:b/>
                <w:sz w:val="18"/>
              </w:rPr>
              <w:t>Απορ. πακέτα</w:t>
            </w:r>
          </w:p>
        </w:tc>
      </w:tr>
      <w:tr>
        <w:tc>
          <w:tcPr>
            <w:tcW w:type="dxa" w:w="1255"/>
          </w:tcPr>
          <w:p>
            <w:r/>
            <w:r>
              <w:rPr>
                <w:sz w:val="18"/>
              </w:rPr>
              <w:t>Κανονική</w:t>
            </w:r>
          </w:p>
        </w:tc>
        <w:tc>
          <w:tcPr>
            <w:tcW w:type="dxa" w:w="1255"/>
          </w:tcPr>
          <w:p>
            <w:r/>
            <w:r>
              <w:rPr>
                <w:sz w:val="18"/>
              </w:rPr>
              <w:t>10</w:t>
            </w:r>
          </w:p>
        </w:tc>
        <w:tc>
          <w:tcPr>
            <w:tcW w:type="dxa" w:w="1255"/>
          </w:tcPr>
          <w:p>
            <w:r/>
            <w:r>
              <w:rPr>
                <w:sz w:val="18"/>
              </w:rPr>
              <w:t>Ναι</w:t>
            </w:r>
          </w:p>
        </w:tc>
        <w:tc>
          <w:tcPr>
            <w:tcW w:type="dxa" w:w="1255"/>
          </w:tcPr>
          <w:p>
            <w:r/>
            <w:r>
              <w:rPr>
                <w:sz w:val="18"/>
              </w:rPr>
              <w:t>97,7%</w:t>
            </w:r>
          </w:p>
        </w:tc>
        <w:tc>
          <w:tcPr>
            <w:tcW w:type="dxa" w:w="1255"/>
          </w:tcPr>
          <w:p>
            <w:r/>
            <w:r>
              <w:rPr>
                <w:sz w:val="18"/>
              </w:rPr>
              <w:t>100%</w:t>
            </w:r>
          </w:p>
        </w:tc>
        <w:tc>
          <w:tcPr>
            <w:tcW w:type="dxa" w:w="1255"/>
          </w:tcPr>
          <w:p>
            <w:r/>
            <w:r>
              <w:rPr>
                <w:sz w:val="18"/>
              </w:rPr>
              <w:t>9 (8)</w:t>
            </w:r>
          </w:p>
        </w:tc>
        <w:tc>
          <w:tcPr>
            <w:tcW w:type="dxa" w:w="1255"/>
          </w:tcPr>
          <w:p>
            <w:r/>
            <w:r>
              <w:rPr>
                <w:sz w:val="18"/>
              </w:rPr>
              <w:t>1.456.155</w:t>
            </w:r>
          </w:p>
        </w:tc>
      </w:tr>
      <w:tr>
        <w:tc>
          <w:tcPr>
            <w:tcW w:type="dxa" w:w="1255"/>
          </w:tcPr>
          <w:p>
            <w:r/>
            <w:r>
              <w:rPr>
                <w:sz w:val="18"/>
              </w:rPr>
              <w:t>Χωρίς ανανέωση</w:t>
            </w:r>
          </w:p>
        </w:tc>
        <w:tc>
          <w:tcPr>
            <w:tcW w:type="dxa" w:w="1255"/>
          </w:tcPr>
          <w:p>
            <w:r/>
            <w:r>
              <w:rPr>
                <w:sz w:val="18"/>
              </w:rPr>
              <w:t>10</w:t>
            </w:r>
          </w:p>
        </w:tc>
        <w:tc>
          <w:tcPr>
            <w:tcW w:type="dxa" w:w="1255"/>
          </w:tcPr>
          <w:p>
            <w:r/>
            <w:r>
              <w:rPr>
                <w:sz w:val="18"/>
              </w:rPr>
              <w:t>Όχι</w:t>
            </w:r>
          </w:p>
        </w:tc>
        <w:tc>
          <w:tcPr>
            <w:tcW w:type="dxa" w:w="1255"/>
          </w:tcPr>
          <w:p>
            <w:r/>
            <w:r>
              <w:rPr>
                <w:sz w:val="18"/>
              </w:rPr>
              <w:t>91,4%</w:t>
            </w:r>
          </w:p>
        </w:tc>
        <w:tc>
          <w:tcPr>
            <w:tcW w:type="dxa" w:w="1255"/>
          </w:tcPr>
          <w:p>
            <w:r/>
            <w:r>
              <w:rPr>
                <w:sz w:val="18"/>
              </w:rPr>
              <w:t>93,6%</w:t>
            </w:r>
          </w:p>
        </w:tc>
        <w:tc>
          <w:tcPr>
            <w:tcW w:type="dxa" w:w="1255"/>
          </w:tcPr>
          <w:p>
            <w:r/>
            <w:r>
              <w:rPr>
                <w:sz w:val="18"/>
              </w:rPr>
              <w:t>6 (5)</w:t>
            </w:r>
          </w:p>
        </w:tc>
        <w:tc>
          <w:tcPr>
            <w:tcW w:type="dxa" w:w="1255"/>
          </w:tcPr>
          <w:p>
            <w:r/>
            <w:r>
              <w:rPr>
                <w:sz w:val="18"/>
              </w:rPr>
              <w:t>1.333.599</w:t>
            </w:r>
          </w:p>
        </w:tc>
      </w:tr>
      <w:tr>
        <w:tc>
          <w:tcPr>
            <w:tcW w:type="dxa" w:w="1255"/>
          </w:tcPr>
          <w:p>
            <w:r/>
            <w:r>
              <w:rPr>
                <w:sz w:val="18"/>
              </w:rPr>
              <w:t>Μικρό TTL</w:t>
            </w:r>
          </w:p>
        </w:tc>
        <w:tc>
          <w:tcPr>
            <w:tcW w:type="dxa" w:w="1255"/>
          </w:tcPr>
          <w:p>
            <w:r/>
            <w:r>
              <w:rPr>
                <w:sz w:val="18"/>
              </w:rPr>
              <w:t>5</w:t>
            </w:r>
          </w:p>
        </w:tc>
        <w:tc>
          <w:tcPr>
            <w:tcW w:type="dxa" w:w="1255"/>
          </w:tcPr>
          <w:p>
            <w:r/>
            <w:r>
              <w:rPr>
                <w:sz w:val="18"/>
              </w:rPr>
              <w:t>Ναι</w:t>
            </w:r>
          </w:p>
        </w:tc>
        <w:tc>
          <w:tcPr>
            <w:tcW w:type="dxa" w:w="1255"/>
          </w:tcPr>
          <w:p>
            <w:r/>
            <w:r>
              <w:rPr>
                <w:sz w:val="18"/>
              </w:rPr>
              <w:t>96,9%</w:t>
            </w:r>
          </w:p>
        </w:tc>
        <w:tc>
          <w:tcPr>
            <w:tcW w:type="dxa" w:w="1255"/>
          </w:tcPr>
          <w:p>
            <w:r/>
            <w:r>
              <w:rPr>
                <w:sz w:val="18"/>
              </w:rPr>
              <w:t>100%</w:t>
            </w:r>
          </w:p>
        </w:tc>
        <w:tc>
          <w:tcPr>
            <w:tcW w:type="dxa" w:w="1255"/>
          </w:tcPr>
          <w:p>
            <w:r/>
            <w:r>
              <w:rPr>
                <w:sz w:val="18"/>
              </w:rPr>
              <w:t>21 (20)</w:t>
            </w:r>
          </w:p>
        </w:tc>
        <w:tc>
          <w:tcPr>
            <w:tcW w:type="dxa" w:w="1255"/>
          </w:tcPr>
          <w:p>
            <w:r/>
            <w:r>
              <w:rPr>
                <w:sz w:val="18"/>
              </w:rPr>
              <w:t>1.415.331</w:t>
            </w:r>
          </w:p>
        </w:tc>
      </w:tr>
      <w:tr>
        <w:tc>
          <w:tcPr>
            <w:tcW w:type="dxa" w:w="1255"/>
          </w:tcPr>
          <w:p>
            <w:r/>
            <w:r>
              <w:rPr>
                <w:sz w:val="18"/>
              </w:rPr>
              <w:t>Μεγάλο TTL</w:t>
            </w:r>
          </w:p>
        </w:tc>
        <w:tc>
          <w:tcPr>
            <w:tcW w:type="dxa" w:w="1255"/>
          </w:tcPr>
          <w:p>
            <w:r/>
            <w:r>
              <w:rPr>
                <w:sz w:val="18"/>
              </w:rPr>
              <w:t>20</w:t>
            </w:r>
          </w:p>
        </w:tc>
        <w:tc>
          <w:tcPr>
            <w:tcW w:type="dxa" w:w="1255"/>
          </w:tcPr>
          <w:p>
            <w:r/>
            <w:r>
              <w:rPr>
                <w:sz w:val="18"/>
              </w:rPr>
              <w:t>Ναι</w:t>
            </w:r>
          </w:p>
        </w:tc>
        <w:tc>
          <w:tcPr>
            <w:tcW w:type="dxa" w:w="1255"/>
          </w:tcPr>
          <w:p>
            <w:r/>
            <w:r>
              <w:rPr>
                <w:sz w:val="18"/>
              </w:rPr>
              <w:t>97,7%</w:t>
            </w:r>
          </w:p>
        </w:tc>
        <w:tc>
          <w:tcPr>
            <w:tcW w:type="dxa" w:w="1255"/>
          </w:tcPr>
          <w:p>
            <w:r/>
            <w:r>
              <w:rPr>
                <w:sz w:val="18"/>
              </w:rPr>
              <w:t>100%</w:t>
            </w:r>
          </w:p>
        </w:tc>
        <w:tc>
          <w:tcPr>
            <w:tcW w:type="dxa" w:w="1255"/>
          </w:tcPr>
          <w:p>
            <w:r/>
            <w:r>
              <w:rPr>
                <w:sz w:val="18"/>
              </w:rPr>
              <w:t>5 (4)</w:t>
            </w:r>
          </w:p>
        </w:tc>
        <w:tc>
          <w:tcPr>
            <w:tcW w:type="dxa" w:w="1255"/>
          </w:tcPr>
          <w:p>
            <w:r/>
            <w:r>
              <w:rPr>
                <w:sz w:val="18"/>
              </w:rPr>
              <w:t>1.458.553</w:t>
            </w:r>
          </w:p>
        </w:tc>
      </w:tr>
    </w:tbl>
    <w:p>
      <w:pPr/>
      <w:r>
        <w:t>Η γραμμή «Χωρίς ανανέωση» αντιστοιχεί σε αντιδραστική μόνο επανεγκατάσταση (η προληπτική ανανέωση απενεργοποιημένη): η κάλυψη πέφτει, δείχνοντας ότι η προληπτική ανανέωση είναι αναγκαία για να μη μεσολαβούν παράθυρα χωρίς ενεργό κανόνα. Το μικρότερο TTL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pPr/>
      <w:r>
        <w:rPr>
          <w:i w:val="0"/>
        </w:rPr>
        <w:t>Για να αποκτήσουν στατιστική αξιοπιστία οι μετρήσεις και να μην στηρίζονται σε μία μόνο εκτέλεση, το σενάριο επαναλήφθηκε σε δέκα ανεξάρτητους κύκλους επίθεσης (αναγνωριστικό εκτέλεσης mininet_run_20260714_195434).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δίνονται στον ακόλουθο πίνακα.</w:t>
      </w:r>
    </w:p>
    <w:p>
      <w:pPr>
        <w:pStyle w:val="af0"/>
        <w:jc w:val="center"/>
      </w:pPr>
      <w:r>
        <w:rPr>
          <w:i/>
          <w:sz w:val="20"/>
        </w:rPr>
        <w:t>Πίνακας 6-13: Κατανομές των μετρικών σε δέκα ανεξάρτητους κύκλους επίθεσης (διάμεσος, μέσος, p95 και 95% διάστημα εμπιστοσύνης του μέσου).</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8"/>
              </w:rPr>
              <w:t>Μετρική</w:t>
            </w:r>
          </w:p>
        </w:tc>
        <w:tc>
          <w:tcPr>
            <w:tcW w:type="dxa" w:w="1758"/>
          </w:tcPr>
          <w:p>
            <w:r/>
            <w:r>
              <w:rPr>
                <w:b/>
                <w:sz w:val="18"/>
              </w:rPr>
              <w:t>Διάμεσος</w:t>
            </w:r>
          </w:p>
        </w:tc>
        <w:tc>
          <w:tcPr>
            <w:tcW w:type="dxa" w:w="1758"/>
          </w:tcPr>
          <w:p>
            <w:r/>
            <w:r>
              <w:rPr>
                <w:b/>
                <w:sz w:val="18"/>
              </w:rPr>
              <w:t>Μέσος</w:t>
            </w:r>
          </w:p>
        </w:tc>
        <w:tc>
          <w:tcPr>
            <w:tcW w:type="dxa" w:w="1758"/>
          </w:tcPr>
          <w:p>
            <w:r/>
            <w:r>
              <w:rPr>
                <w:b/>
                <w:sz w:val="18"/>
              </w:rPr>
              <w:t>p95</w:t>
            </w:r>
          </w:p>
        </w:tc>
        <w:tc>
          <w:tcPr>
            <w:tcW w:type="dxa" w:w="1758"/>
          </w:tcPr>
          <w:p>
            <w:r/>
            <w:r>
              <w:rPr>
                <w:b/>
                <w:sz w:val="18"/>
              </w:rPr>
              <w:t>95% CI του μέσου</w:t>
            </w:r>
          </w:p>
        </w:tc>
      </w:tr>
      <w:tr>
        <w:tc>
          <w:tcPr>
            <w:tcW w:type="dxa" w:w="1758"/>
          </w:tcPr>
          <w:p>
            <w:r/>
            <w:r>
              <w:rPr>
                <w:sz w:val="18"/>
              </w:rPr>
              <w:t>Καθυστέρηση ανίχνευσης (s)</w:t>
            </w:r>
          </w:p>
        </w:tc>
        <w:tc>
          <w:tcPr>
            <w:tcW w:type="dxa" w:w="1758"/>
          </w:tcPr>
          <w:p>
            <w:r/>
            <w:r>
              <w:rPr>
                <w:sz w:val="18"/>
              </w:rPr>
              <w:t>1,73</w:t>
            </w:r>
          </w:p>
        </w:tc>
        <w:tc>
          <w:tcPr>
            <w:tcW w:type="dxa" w:w="1758"/>
          </w:tcPr>
          <w:p>
            <w:r/>
            <w:r>
              <w:rPr>
                <w:sz w:val="18"/>
              </w:rPr>
              <w:t>1,78</w:t>
            </w:r>
          </w:p>
        </w:tc>
        <w:tc>
          <w:tcPr>
            <w:tcW w:type="dxa" w:w="1758"/>
          </w:tcPr>
          <w:p>
            <w:r/>
            <w:r>
              <w:rPr>
                <w:sz w:val="18"/>
              </w:rPr>
              <w:t>2,88</w:t>
            </w:r>
          </w:p>
        </w:tc>
        <w:tc>
          <w:tcPr>
            <w:tcW w:type="dxa" w:w="1758"/>
          </w:tcPr>
          <w:p>
            <w:r/>
            <w:r>
              <w:rPr>
                <w:sz w:val="18"/>
              </w:rPr>
              <w:t>[1,39, 2,17]</w:t>
            </w:r>
          </w:p>
        </w:tc>
      </w:tr>
      <w:tr>
        <w:tc>
          <w:tcPr>
            <w:tcW w:type="dxa" w:w="1758"/>
          </w:tcPr>
          <w:p>
            <w:r/>
            <w:r>
              <w:rPr>
                <w:sz w:val="18"/>
              </w:rPr>
              <w:t>Πρώτο απορριφθέν πακέτο (s)</w:t>
            </w:r>
          </w:p>
        </w:tc>
        <w:tc>
          <w:tcPr>
            <w:tcW w:type="dxa" w:w="1758"/>
          </w:tcPr>
          <w:p>
            <w:r/>
            <w:r>
              <w:rPr>
                <w:sz w:val="18"/>
              </w:rPr>
              <w:t>1,86</w:t>
            </w:r>
          </w:p>
        </w:tc>
        <w:tc>
          <w:tcPr>
            <w:tcW w:type="dxa" w:w="1758"/>
          </w:tcPr>
          <w:p>
            <w:r/>
            <w:r>
              <w:rPr>
                <w:sz w:val="18"/>
              </w:rPr>
              <w:t>1,92</w:t>
            </w:r>
          </w:p>
        </w:tc>
        <w:tc>
          <w:tcPr>
            <w:tcW w:type="dxa" w:w="1758"/>
          </w:tcPr>
          <w:p>
            <w:r/>
            <w:r>
              <w:rPr>
                <w:sz w:val="18"/>
              </w:rPr>
              <w:t>2,91</w:t>
            </w:r>
          </w:p>
        </w:tc>
        <w:tc>
          <w:tcPr>
            <w:tcW w:type="dxa" w:w="1758"/>
          </w:tcPr>
          <w:p>
            <w:r/>
            <w:r>
              <w:rPr>
                <w:sz w:val="18"/>
              </w:rPr>
              <w:t>[1,54, 2,31]</w:t>
            </w:r>
          </w:p>
        </w:tc>
      </w:tr>
      <w:tr>
        <w:tc>
          <w:tcPr>
            <w:tcW w:type="dxa" w:w="1758"/>
          </w:tcPr>
          <w:p>
            <w:r/>
            <w:r>
              <w:rPr>
                <w:sz w:val="18"/>
              </w:rPr>
              <w:t>Κάλυψη αντιμετώπισης (%)</w:t>
            </w:r>
          </w:p>
        </w:tc>
        <w:tc>
          <w:tcPr>
            <w:tcW w:type="dxa" w:w="1758"/>
          </w:tcPr>
          <w:p>
            <w:r/>
            <w:r>
              <w:rPr>
                <w:sz w:val="18"/>
              </w:rPr>
              <w:t>94,1</w:t>
            </w:r>
          </w:p>
        </w:tc>
        <w:tc>
          <w:tcPr>
            <w:tcW w:type="dxa" w:w="1758"/>
          </w:tcPr>
          <w:p>
            <w:r/>
            <w:r>
              <w:rPr>
                <w:sz w:val="18"/>
              </w:rPr>
              <w:t>94,1</w:t>
            </w:r>
          </w:p>
        </w:tc>
        <w:tc>
          <w:tcPr>
            <w:tcW w:type="dxa" w:w="1758"/>
          </w:tcPr>
          <w:p>
            <w:r/>
            <w:r>
              <w:rPr>
                <w:sz w:val="18"/>
              </w:rPr>
              <w:t>97,1</w:t>
            </w:r>
          </w:p>
        </w:tc>
        <w:tc>
          <w:tcPr>
            <w:tcW w:type="dxa" w:w="1758"/>
          </w:tcPr>
          <w:p>
            <w:r/>
            <w:r>
              <w:rPr>
                <w:sz w:val="18"/>
              </w:rPr>
              <w:t>[92,9, 95,3]</w:t>
            </w:r>
          </w:p>
        </w:tc>
      </w:tr>
      <w:tr>
        <w:tc>
          <w:tcPr>
            <w:tcW w:type="dxa" w:w="1758"/>
          </w:tcPr>
          <w:p>
            <w:r/>
            <w:r>
              <w:rPr>
                <w:sz w:val="18"/>
              </w:rPr>
              <w:t>Κάλυψη μετά την ανίχνευση (%)</w:t>
            </w:r>
          </w:p>
        </w:tc>
        <w:tc>
          <w:tcPr>
            <w:tcW w:type="dxa" w:w="1758"/>
          </w:tcPr>
          <w:p>
            <w:r/>
            <w:r>
              <w:rPr>
                <w:sz w:val="18"/>
              </w:rPr>
              <w:t>100</w:t>
            </w:r>
          </w:p>
        </w:tc>
        <w:tc>
          <w:tcPr>
            <w:tcW w:type="dxa" w:w="1758"/>
          </w:tcPr>
          <w:p>
            <w:r/>
            <w:r>
              <w:rPr>
                <w:sz w:val="18"/>
              </w:rPr>
              <w:t>100</w:t>
            </w:r>
          </w:p>
        </w:tc>
        <w:tc>
          <w:tcPr>
            <w:tcW w:type="dxa" w:w="1758"/>
          </w:tcPr>
          <w:p>
            <w:r/>
            <w:r>
              <w:rPr>
                <w:sz w:val="18"/>
              </w:rPr>
              <w:t>100</w:t>
            </w:r>
          </w:p>
        </w:tc>
        <w:tc>
          <w:tcPr>
            <w:tcW w:type="dxa" w:w="1758"/>
          </w:tcPr>
          <w:p>
            <w:r/>
            <w:r>
              <w:rPr>
                <w:sz w:val="18"/>
              </w:rPr>
              <w:t>[100, 100]</w:t>
            </w:r>
          </w:p>
        </w:tc>
      </w:tr>
      <w:tr>
        <w:tc>
          <w:tcPr>
            <w:tcW w:type="dxa" w:w="1758"/>
          </w:tcPr>
          <w:p>
            <w:r/>
            <w:r>
              <w:rPr>
                <w:sz w:val="18"/>
              </w:rPr>
              <w:t>Απορριφθέντα πακέτα</w:t>
            </w:r>
          </w:p>
        </w:tc>
        <w:tc>
          <w:tcPr>
            <w:tcW w:type="dxa" w:w="1758"/>
          </w:tcPr>
          <w:p>
            <w:r/>
            <w:r>
              <w:rPr>
                <w:sz w:val="18"/>
              </w:rPr>
              <w:t>740.677</w:t>
            </w:r>
          </w:p>
        </w:tc>
        <w:tc>
          <w:tcPr>
            <w:tcW w:type="dxa" w:w="1758"/>
          </w:tcPr>
          <w:p>
            <w:r/>
            <w:r>
              <w:rPr>
                <w:sz w:val="18"/>
              </w:rPr>
              <w:t>745.091</w:t>
            </w:r>
          </w:p>
        </w:tc>
        <w:tc>
          <w:tcPr>
            <w:tcW w:type="dxa" w:w="1758"/>
          </w:tcPr>
          <w:p>
            <w:r/>
            <w:r>
              <w:rPr>
                <w:sz w:val="18"/>
              </w:rPr>
              <w:t>776.173</w:t>
            </w:r>
          </w:p>
        </w:tc>
        <w:tc>
          <w:tcPr>
            <w:tcW w:type="dxa" w:w="1758"/>
          </w:tcPr>
          <w:p>
            <w:r/>
            <w:r>
              <w:rPr>
                <w:sz w:val="18"/>
              </w:rPr>
              <w:t>[734.640, 755.541]</w:t>
            </w:r>
          </w:p>
        </w:tc>
      </w:tr>
    </w:tbl>
    <w:p>
      <w:pPr/>
      <w:r>
        <w:rPr>
          <w:i w:val="0"/>
        </w:rPr>
        <w:t>Η στενότητα των διαστημάτων εμπιστοσύνης δείχνει ότι η συμπεριφορά είναι σταθερή μεταξύ εκτελέσεων: η καθυστέρηση ανίχνευσης παραμένει κάτω από τρία δευτερόλεπτα ακόμη και στο 95ο εκατοστημόριο, ενώ η κάλυψη μετά την ανίχνευση είναι σταθερά 100%. Παράλληλα μετρήθηκε η επίδραση στο δίκτυο: σε καμία από τις δέκα εκτελέσεις η νόμιμη κίνηση δεν υπέστη απώλεια πακέτων, και η μέση καθυστέρηση διαδρομής (RTT) νόμιμου host παρέμεινε ουσιαστικά αμετάβλητη πριν, κατά τη διάρκεια και μετά την επίθεση (περίπου 4,6 ms σε κανονική λειτουργία, 4,4 ms υπό επίθεση και 4,4 ms μετά την αποκατάσταση, με μηδενική απώλεια σε κάθε φάση). Το εύρημα επιβεβαιώνει ότι η αντιμετώπιση απομονώνει τον επιτιθέμενο χωρίς να επιβαρύνει τους νόμιμους χρήστες και ότι η συνδεσιμότητα αποκαθίσταται πλήρως μόλις παύσει η επίθεση.</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Πίνακας 6-14: Μετρήσεις κατά τη διάρκεια της επίθεσης κορεσμού control plane.</w:t>
      </w:r>
      <w:proofErr w:type="spellStart"/>
      <w:r w:rsidRPr="00CD07AC">
        <w:rPr>
          <w:i/>
          <w:color w:val="000000" w:themeColor="text1"/>
          <w:sz w:val="20"/>
          <w:lang w:val="el-GR"/>
        </w:rPr>
      </w:r>
      <w:proofErr w:type="spellEnd"/>
      <w:r w:rsidRPr="00CD07AC">
        <w:rPr>
          <w:i/>
          <w:color w:val="000000" w:themeColor="text1"/>
          <w:sz w:val="20"/>
          <w:lang w:val="el-GR"/>
        </w:rPr>
      </w:r>
      <w:proofErr w:type="spellStart"/>
      <w:r w:rsidRPr="00CD07AC">
        <w:rPr>
          <w:i/>
          <w:color w:val="000000" w:themeColor="text1"/>
          <w:sz w:val="20"/>
          <w:lang w:val="el-GR"/>
        </w:rPr>
      </w:r>
      <w:proofErr w:type="spellEnd"/>
      <w:r w:rsidRPr="00CD07AC">
        <w:rPr>
          <w:i/>
          <w:color w:val="000000" w:themeColor="text1"/>
          <w:sz w:val="20"/>
          <w:lang w:val="el-GR"/>
        </w:rPr>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Πίνακας 6-15: Επίθεση μίμησης εναντίον του Random Forest: ρυθμός αποφυγής vs διαταραχή ε.</w:t>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δοκιμών που εξετάστηκαν, έναντι όλων των φυσικών στρατηγικών αποφυγής. Ο λόγος </w:t>
      </w:r>
      <w:r w:rsidRPr="00394963">
        <w:rPr>
          <w:lang w:val="el-GR"/>
        </w:rPr>
        <w:lastRenderedPageBreak/>
        <w:t>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6-16: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w:t>
      </w:r>
      <w:proofErr w:type="spellStart"/>
      <w:r w:rsidRPr="00394963">
        <w:rPr>
          <w:lang w:val="el-GR"/>
        </w:rPr>
        <w:t>πολυεπιπεδότητάς</w:t>
      </w:r>
      <w:proofErr w:type="spellEnd"/>
      <w:r w:rsidRPr="00394963">
        <w:rPr>
          <w:lang w:val="el-GR"/>
        </w:rPr>
        <w:t xml:space="preserve">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w:t>
      </w:r>
      <w:proofErr w:type="spellStart"/>
      <w:r w:rsidRPr="00394963">
        <w:rPr>
          <w:lang w:val="el-GR"/>
        </w:rPr>
        <w:t>συμπεριφορικά</w:t>
      </w:r>
      <w:proofErr w:type="spellEnd"/>
      <w:r w:rsidRPr="00394963">
        <w:rPr>
          <w:lang w:val="el-GR"/>
        </w:rPr>
        <w:t xml:space="preserve">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Πίνακας 6-17: Ρυθμός αποφυγής (mimicry) Original vs Robust Random Forest ανά διαταραχή ε.</w:t>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Μετρική</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Χρόνος</w:t>
            </w:r>
            <w:proofErr w:type="spellEnd"/>
            <w:r>
              <w:rPr>
                <w:b w:val="0"/>
                <w:sz w:val="18"/>
              </w:rPr>
              <w:t xml:space="preserve"> α</w:t>
            </w:r>
            <w:proofErr w:type="spellStart"/>
            <w:r>
              <w:rPr>
                <w:b w:val="0"/>
                <w:sz w:val="18"/>
              </w:rPr>
              <w:t>νίχνευσης</w:t>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w:t>
            </w:r>
            <w:proofErr w:type="spellStart"/>
            <w:r>
              <w:rPr>
                <w:sz w:val="18"/>
              </w:rPr>
              <w:t>ράθυρο</w:t>
            </w:r>
            <w:proofErr w:type="spellEnd"/>
            <w:r>
              <w:rPr>
                <w:sz w:val="18"/>
              </w:rPr>
              <w:t xml:space="preserve">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Υψηλότερος</w:t>
            </w:r>
            <w:proofErr w:type="spellEnd"/>
            <w:r>
              <w:rPr>
                <w:sz w:val="18"/>
              </w:rPr>
              <w:t xml:space="preserve"> (matching + </w:t>
            </w:r>
            <w:proofErr w:type="spellStart"/>
            <w:r>
              <w:rPr>
                <w:sz w:val="18"/>
              </w:rPr>
              <w:t>ενημ</w:t>
            </w:r>
            <w:proofErr w:type="spellEnd"/>
            <w:r>
              <w:rPr>
                <w:sz w:val="18"/>
              </w:rPr>
              <w:t>. υπ</w:t>
            </w:r>
            <w:proofErr w:type="spellStart"/>
            <w:r>
              <w:rPr>
                <w:sz w:val="18"/>
              </w:rPr>
              <w:t>ογρ</w:t>
            </w:r>
            <w:proofErr w:type="spellEnd"/>
            <w:r>
              <w:rPr>
                <w:sz w:val="18"/>
              </w:rPr>
              <w:t>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Ψευδώς</w:t>
            </w:r>
            <w:proofErr w:type="spellEnd"/>
            <w:r>
              <w:rPr>
                <w:b w:val="0"/>
                <w:sz w:val="18"/>
              </w:rPr>
              <w:t xml:space="preserve"> </w:t>
            </w:r>
            <w:proofErr w:type="spellStart"/>
            <w:r>
              <w:rPr>
                <w:b w:val="0"/>
                <w:sz w:val="18"/>
              </w:rPr>
              <w:t>θετικά</w:t>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Συνήθως </w:t>
            </w:r>
            <w:proofErr w:type="spellStart"/>
            <w:r>
              <w:rPr>
                <w:sz w:val="18"/>
              </w:rPr>
              <w:t>υψηλότερ</w:t>
            </w:r>
            <w:proofErr w:type="spellEnd"/>
            <w:r>
              <w:rPr>
                <w:sz w:val="18"/>
              </w:rPr>
              <w:t>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w:t>
            </w:r>
            <w:proofErr w:type="spellStart"/>
            <w:r>
              <w:rPr>
                <w:b w:val="0"/>
                <w:sz w:val="18"/>
              </w:rPr>
              <w:t>νίχνευση</w:t>
            </w:r>
            <w:proofErr w:type="spellEnd"/>
            <w:r>
              <w:rPr>
                <w:b w:val="0"/>
                <w:sz w:val="18"/>
              </w:rPr>
              <w:t xml:space="preserve"> </w:t>
            </w:r>
            <w:proofErr w:type="spellStart"/>
            <w:r>
              <w:rPr>
                <w:b w:val="0"/>
                <w:sz w:val="18"/>
              </w:rPr>
              <w:t>μετά</w:t>
            </w:r>
            <w:proofErr w:type="spellEnd"/>
            <w:r>
              <w:rPr>
                <w:b w:val="0"/>
                <w:sz w:val="18"/>
              </w:rPr>
              <w:t xml:space="preserve">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w:t>
            </w:r>
            <w:proofErr w:type="spellStart"/>
            <w:r>
              <w:rPr>
                <w:b w:val="0"/>
                <w:sz w:val="18"/>
              </w:rPr>
              <w:t>ιθέσεις</w:t>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r>
              <w:rPr>
                <w:sz w:val="18"/>
              </w:rPr>
              <w:t xml:space="preserve"> (α</w:t>
            </w:r>
            <w:proofErr w:type="spellStart"/>
            <w:r>
              <w:rPr>
                <w:sz w:val="18"/>
              </w:rPr>
              <w:t>νωμ</w:t>
            </w:r>
            <w:proofErr w:type="spellEnd"/>
            <w:r>
              <w:rPr>
                <w:sz w:val="18"/>
              </w:rPr>
              <w:t>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142 tests: 135 επιτυχή, 7 skipped (χωρίς Docker/προαιρετικές εξαρτήσεις)</w:t>
            </w:r>
            <w:proofErr w:type="spellEnd"/>
            <w:r>
              <w:rPr>
                <w:sz w:val="18"/>
              </w:rPr>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Εγκ</w:t>
            </w:r>
            <w:proofErr w:type="spellEnd"/>
            <w:r>
              <w:rPr>
                <w:b w:val="0"/>
                <w:sz w:val="18"/>
              </w:rPr>
              <w:t>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Πίνακας 6-18: Ποιοτική σύγκριση του ML συστήματος με παραδοσιακά signature-based IDS.</w:t>
      </w:r>
      <w:proofErr w:type="spellStart"/>
      <w:r w:rsidRPr="00234D29">
        <w:rPr>
          <w:i/>
          <w:color w:val="000000" w:themeColor="text1"/>
          <w:sz w:val="20"/>
          <w:lang w:val="el-GR"/>
        </w:rPr>
      </w:r>
      <w:proofErr w:type="spellEnd"/>
      <w:r w:rsidRPr="00234D29">
        <w:rPr>
          <w:i/>
          <w:color w:val="000000" w:themeColor="text1"/>
          <w:sz w:val="20"/>
          <w:lang w:val="el-GR"/>
        </w:rPr>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6-19: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 xml:space="preserve">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w:t>
      </w:r>
      <w:proofErr w:type="spellStart"/>
      <w:r w:rsidRPr="00394963">
        <w:rPr>
          <w:lang w:val="el-GR"/>
        </w:rPr>
        <w:t>Carlo</w:t>
      </w:r>
      <w:proofErr w:type="spellEnd"/>
      <w:r w:rsidRPr="00394963">
        <w:rPr>
          <w:lang w:val="el-GR"/>
        </w:rPr>
        <w:t xml:space="preserve"> της μηχανής απόφασης, με διαφορετικό σπόρο </w:t>
      </w:r>
      <w:proofErr w:type="spellStart"/>
      <w:r w:rsidRPr="00394963">
        <w:rPr>
          <w:lang w:val="el-GR"/>
        </w:rPr>
        <w:t>τυχαιότητας</w:t>
      </w:r>
      <w:proofErr w:type="spellEnd"/>
      <w:r w:rsidRPr="00394963">
        <w:rPr>
          <w:lang w:val="el-GR"/>
        </w:rPr>
        <w:t xml:space="preserve"> ανά επανάληψη, όχι ανεξάρτητες εκτελέσεις του ζωντανού δικτύου. Ομοίως, η </w:t>
      </w:r>
      <w:proofErr w:type="spellStart"/>
      <w:r w:rsidRPr="00394963">
        <w:rPr>
          <w:lang w:val="el-GR"/>
        </w:rPr>
        <w:t>offline</w:t>
      </w:r>
      <w:proofErr w:type="spellEnd"/>
      <w:r w:rsidRPr="00394963">
        <w:rPr>
          <w:lang w:val="el-GR"/>
        </w:rPr>
        <w:t xml:space="preserv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w:t>
      </w:r>
      <w:proofErr w:type="spellStart"/>
      <w:r w:rsidRPr="00394963">
        <w:rPr>
          <w:lang w:val="el-GR"/>
        </w:rPr>
        <w:t>live</w:t>
      </w:r>
      <w:proofErr w:type="spellEnd"/>
      <w:r w:rsidRPr="00394963">
        <w:rPr>
          <w:lang w:val="el-GR"/>
        </w:rPr>
        <w:t xml:space="preserve"> σεναρίων τεκμηριώνουν λειτουργική εφικτότητα, ενώ η στατιστική σταθερότητα αφορά τις προσομοιώσεις και την </w:t>
      </w:r>
      <w:proofErr w:type="spellStart"/>
      <w:r w:rsidRPr="00394963">
        <w:rPr>
          <w:lang w:val="el-GR"/>
        </w:rPr>
        <w:t>offline</w:t>
      </w:r>
      <w:proofErr w:type="spellEnd"/>
      <w:r w:rsidRPr="00394963">
        <w:rPr>
          <w:lang w:val="el-GR"/>
        </w:rPr>
        <w:t xml:space="preserve"> αξιολόγηση.</w:t>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r/>
      <w:r w:rsidRPr="00394963">
        <w:rPr>
          <w:lang w:val="el-GR"/>
        </w:rPr>
      </w:r>
      <w:r/>
      <w:r w:rsidRPr="00394963">
        <w:rPr>
          <w:lang w:val="el-GR"/>
        </w:rPr>
      </w:r>
      <w:r/>
      <w:r w:rsidRPr="00394963">
        <w:rPr>
          <w:lang w:val="el-GR"/>
        </w:rPr>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Τα κύρια ευρήματα συνοψίζονται ως εξής. 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w:t>
      </w:r>
      <w:proofErr w:type="spellStart"/>
      <w:r w:rsidRPr="00394963">
        <w:rPr>
          <w:lang w:val="el-GR"/>
        </w:rPr>
        <w:t>hosts</w:t>
      </w:r>
      <w:proofErr w:type="spellEnd"/>
      <w:r w:rsidRPr="00394963">
        <w:rPr>
          <w:lang w:val="el-GR"/>
        </w:rPr>
        <w:t xml:space="preserve">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1EC19ABB" w14:textId="77777777" w:rsidR="009E7704" w:rsidRPr="00394963" w:rsidRDefault="00AD61C4">
      <w:pPr>
        <w:rPr>
          <w:lang w:val="el-GR"/>
        </w:rPr>
      </w:pPr>
      <w:r w:rsidRPr="00394963">
        <w:rPr>
          <w:b/>
          <w:lang w:val="el-GR"/>
        </w:rPr>
        <w:t>Απαντήσεις στα ερευνητικά ερωτήματα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RQ1. Τα κλασικά μοντέλα πετυχαίνουν πολύ υψηλή ταξινόμηση σε δεδομένα ροών SDN ακόμη και υπό διαχωρισμό ανθεκτικό στη διαρροή ακριβών διπλότυπων: στο πραγματικό InSDN το Random Forest δίνει macro-F1 περίπου 0,945 και ο KNN 0,952, με το Random Forest να προτιμάται πρακτικά λόγω πολύ μικρότερου χρόνου πρόβλεψης. Η ανθεκτική στη διαρροή αξιολόγηση επιβεβαιώνει ότι η απόδοση δεν οφείλεται στα διπλότυπα.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στα 1,48 s. Χάρη στην αυτόματη ανανέωση του κανόνα, η αντιμετώπιση καλύπτει ολόκληρη τη διάρκεια της επίθεσης (100% από τη στιγμή της ανίχνευσης).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RQ5. Ο μηχανισμός αντιμετώπισης δεν επηρέασε τη νόμιμη κίνηση: κατά τη διάρκεια της επίθεσης το ping νόμιμου host παρέμεινε με μηδενική απώλεια και σταθερό RTT, ενώ μετά την παύση της επίθεσης η συνδεσιμότητα της πηγής αποκαθίσταται αυτόματα. Απομένουν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0459AFA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πρώτο απορριφθέν πακέτο στα 1,48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r/>
      <w:r w:rsidRPr="00394963">
        <w:rPr>
          <w:lang w:val="el-GR"/>
        </w:rPr>
      </w:r>
      <w:r/>
      <w:r w:rsidRPr="00394963">
        <w:rPr>
          <w:lang w:val="el-GR"/>
        </w:rPr>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λειτουργεί </w:t>
      </w:r>
      <w:proofErr w:type="spellStart"/>
      <w:r w:rsidRPr="00394963">
        <w:rPr>
          <w:lang w:val="el-GR"/>
        </w:rPr>
        <w:t>end-to-end</w:t>
      </w:r>
      <w:proofErr w:type="spellEnd"/>
      <w:r w:rsidRPr="00394963">
        <w:rPr>
          <w:lang w:val="el-GR"/>
        </w:rPr>
        <w:t xml:space="preserve"> και αποδεικνύεται ανθεκτική σε αντίπαλες στρατηγικές αποφυγής μετά την εφαρμογή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r/>
            <w:r w:rsidRPr="0083506F">
              <w:rPr>
                <w:lang w:val="el-GR"/>
              </w:rPr>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140 tests: 133 επιτυχή, 7 skipped (χωρίς Docker/προαιρετικές εξαρτήσεις)</w:t>
            </w:r>
            <w:proofErr w:type="spellStart"/>
            <w:r/>
            <w:proofErr w:type="spellEnd"/>
            <w:r/>
            <w:proofErr w:type="spellStart"/>
            <w:r/>
            <w:proofErr w:type="spellEnd"/>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r>
        <w:tc>
          <w:tcPr>
            <w:tcW w:type="dxa" w:w="2745"/>
          </w:tcPr>
          <w:p>
            <w:r>
              <w:t>Πλήρης αναπαραγωγή</w:t>
            </w:r>
          </w:p>
        </w:tc>
        <w:tc>
          <w:tcPr>
            <w:tcW w:type="dxa" w:w="3649"/>
          </w:tcPr>
          <w:p>
            <w:r>
              <w:t>bash reproduce_thesis.sh</w:t>
            </w:r>
          </w:p>
        </w:tc>
        <w:tc>
          <w:tcPr>
            <w:tcW w:type="dxa" w:w="2610"/>
          </w:tcPr>
          <w:p>
            <w:r>
              <w:t>ΟΛΕΣ οι μελέτες του κειμένου, με αναφορά όσων βημάτων λείπουν λόγω προαιρετικών εξαρτήσεων</w:t>
            </w:r>
          </w:p>
        </w:tc>
      </w:tr>
      <w:tr>
        <w:tc>
          <w:tcPr>
            <w:tcW w:type="dxa" w:w="2745"/>
          </w:tcPr>
          <w:p>
            <w:r>
              <w:t>Packet-level πείραμα</w:t>
            </w:r>
          </w:p>
        </w:tc>
        <w:tc>
          <w:tcPr>
            <w:tcW w:type="dxa" w:w="3649"/>
          </w:tcPr>
          <w:p>
            <w:r>
              <w:t>bash run_packet_level_experiment.sh</w:t>
            </w:r>
          </w:p>
        </w:tc>
        <w:tc>
          <w:tcPr>
            <w:tcW w:type="dxa" w:w="2610"/>
          </w:tcPr>
          <w:p>
            <w:r>
              <w:t>Πραγματικά dropped packets + κάλυψη αντιμετώπισης στο results/live/mininet_run_*/ και στο experiment_summary.csv</w:t>
            </w:r>
          </w:p>
        </w:tc>
      </w:tr>
      <w:tr>
        <w:tc>
          <w:tcPr>
            <w:tcW w:type="dxa" w:w="2745"/>
          </w:tcPr>
          <w:p>
            <w:r>
              <w:t>Επαλήθευση artifacts</w:t>
            </w:r>
          </w:p>
        </w:tc>
        <w:tc>
          <w:tcPr>
            <w:tcW w:type="dxa" w:w="3649"/>
          </w:tcPr>
          <w:p>
            <w:r>
              <w:t>sha256sum -c MANIFEST.sha256</w:t>
            </w:r>
          </w:p>
        </w:tc>
        <w:tc>
          <w:tcPr>
            <w:tcW w:type="dxa" w:w="2610"/>
          </w:tcPr>
          <w:p>
            <w:r>
              <w:t>Όλα OK: μοντέλα, dataset και κύρια αποτελέσματα ταυτίζονται με το κείμενο</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