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object w:dxaOrig="1454" w:dyaOrig="688">
          <v:rect xmlns:o="urn:schemas-microsoft-com:office:office" xmlns:v="urn:schemas-microsoft-com:vml" id="rectole0000000000" style="width:72.700000pt;height:34.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Calibri" w:hAnsi="Calibri" w:cs="Calibri" w:eastAsia="Calibri"/>
          <w:b/>
          <w:color w:val="auto"/>
          <w:spacing w:val="0"/>
          <w:position w:val="0"/>
          <w:sz w:val="22"/>
          <w:shd w:fill="auto" w:val="clear"/>
        </w:rPr>
        <w:t xml:space="preserve">INSTITUTO DE EDUCACIÓN SUPERIOR CIBERTEC</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DIRECCIÓN ACADÉMICA</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CARRERAS PROFESIONALES</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CURSO</w:t>
        <w:tab/>
        <w:tab/>
        <w:t xml:space="preserve">:</w:t>
        <w:tab/>
      </w:r>
      <w:r>
        <w:rPr>
          <w:rFonts w:ascii="Calibri" w:hAnsi="Calibri" w:cs="Calibri" w:eastAsia="Calibri"/>
          <w:color w:val="auto"/>
          <w:spacing w:val="0"/>
          <w:position w:val="0"/>
          <w:sz w:val="22"/>
          <w:shd w:fill="auto" w:val="clear"/>
        </w:rPr>
        <w:t xml:space="preserve">1924 - Desarrollo de Servicios Web II</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PROFESOR</w:t>
        <w:tab/>
        <w:t xml:space="preserve">:</w:t>
        <w:tab/>
        <w:t xml:space="preserve">Luis Angel Salvatierra Aquino</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SEMESTRE</w:t>
        <w:tab/>
        <w:t xml:space="preserve">:</w:t>
        <w:tab/>
      </w:r>
      <w:r>
        <w:rPr>
          <w:rFonts w:ascii="Calibri" w:hAnsi="Calibri" w:cs="Calibri" w:eastAsia="Calibri"/>
          <w:color w:val="auto"/>
          <w:spacing w:val="0"/>
          <w:position w:val="0"/>
          <w:sz w:val="22"/>
          <w:shd w:fill="auto" w:val="clear"/>
        </w:rPr>
        <w:t xml:space="preserve">2023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II</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CICLO</w:t>
        <w:tab/>
        <w:tab/>
        <w:t xml:space="preserve">:</w:t>
        <w:tab/>
        <w:t xml:space="preserve">Sexto</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SECCIÓN</w:t>
        <w:tab/>
        <w:t xml:space="preserve">:</w:t>
        <w:tab/>
        <w:t xml:space="preserve">T6HC</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GRUPO</w:t>
        <w:tab/>
        <w:tab/>
        <w:t xml:space="preserve">:</w:t>
        <w:tab/>
        <w:t xml:space="preserve">01</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FECHA</w:t>
        <w:tab/>
        <w:tab/>
        <w:t xml:space="preserve">:</w:t>
        <w:tab/>
        <w:t xml:space="preserve">24/10/2024</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DURACIÓN</w:t>
        <w:tab/>
        <w:t xml:space="preserve">:</w:t>
        <w:tab/>
        <w:t xml:space="preserve">Inicio: 06:00 pm (24/10/2024)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Fin: 10:00 am (25/10/2024)</w:t>
      </w:r>
    </w:p>
    <w:p>
      <w:pPr>
        <w:suppressAutoHyphens w:val="true"/>
        <w:spacing w:before="0" w:after="0" w:line="240"/>
        <w:ind w:right="0" w:left="0" w:firstLine="0"/>
        <w:jc w:val="left"/>
        <w:rPr>
          <w:rFonts w:ascii="Arial" w:hAnsi="Arial" w:cs="Arial" w:eastAsia="Arial"/>
          <w:b/>
          <w:color w:val="auto"/>
          <w:spacing w:val="0"/>
          <w:position w:val="0"/>
          <w:sz w:val="16"/>
          <w:shd w:fill="auto" w:val="clear"/>
        </w:rPr>
      </w:pPr>
    </w:p>
    <w:p>
      <w:pPr>
        <w:suppressAutoHyphens w:val="true"/>
        <w:spacing w:before="0" w:after="0" w:line="240"/>
        <w:ind w:right="0" w:left="0" w:firstLine="0"/>
        <w:jc w:val="left"/>
        <w:rPr>
          <w:rFonts w:ascii="Arial" w:hAnsi="Arial" w:cs="Arial" w:eastAsia="Arial"/>
          <w:b/>
          <w:color w:val="auto"/>
          <w:spacing w:val="0"/>
          <w:position w:val="0"/>
          <w:sz w:val="16"/>
          <w:shd w:fill="auto" w:val="clear"/>
        </w:rPr>
      </w:pPr>
    </w:p>
    <w:p>
      <w:pPr>
        <w:suppressAutoHyphens w:val="true"/>
        <w:spacing w:before="0" w:after="0" w:line="240"/>
        <w:ind w:right="0" w:left="0" w:firstLine="0"/>
        <w:jc w:val="left"/>
        <w:rPr>
          <w:rFonts w:ascii="Arial" w:hAnsi="Arial" w:cs="Arial" w:eastAsia="Arial"/>
          <w:b/>
          <w:color w:val="auto"/>
          <w:spacing w:val="0"/>
          <w:position w:val="0"/>
          <w:sz w:val="16"/>
          <w:shd w:fill="auto" w:val="clear"/>
        </w:rPr>
      </w:pPr>
    </w:p>
    <w:p>
      <w:pPr>
        <w:suppressAutoHyphens w:val="true"/>
        <w:spacing w:before="0" w:after="0" w:line="240"/>
        <w:ind w:right="0" w:left="0" w:firstLine="0"/>
        <w:jc w:val="left"/>
        <w:rPr>
          <w:rFonts w:ascii="Arial" w:hAnsi="Arial" w:cs="Arial" w:eastAsia="Arial"/>
          <w:b/>
          <w:color w:val="auto"/>
          <w:spacing w:val="0"/>
          <w:position w:val="0"/>
          <w:sz w:val="2"/>
          <w:shd w:fill="auto" w:val="clear"/>
        </w:rPr>
      </w:pPr>
    </w:p>
    <w:tbl>
      <w:tblPr/>
      <w:tblGrid>
        <w:gridCol w:w="9000"/>
      </w:tblGrid>
      <w:tr>
        <w:trPr>
          <w:trHeight w:val="475" w:hRule="auto"/>
          <w:jc w:val="left"/>
        </w:trPr>
        <w:tc>
          <w:tcPr>
            <w:tcW w:w="900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uppressAutoHyphens w:val="true"/>
              <w:spacing w:before="0" w:after="0" w:line="240"/>
              <w:ind w:right="0" w:left="0" w:firstLine="0"/>
              <w:jc w:val="left"/>
              <w:rPr>
                <w:color w:val="auto"/>
                <w:spacing w:val="0"/>
                <w:position w:val="0"/>
                <w:sz w:val="22"/>
                <w:shd w:fill="auto" w:val="clear"/>
              </w:rPr>
            </w:pPr>
            <w:r>
              <w:rPr>
                <w:rFonts w:ascii="Brandon Grotesque Regular" w:hAnsi="Brandon Grotesque Regular" w:cs="Brandon Grotesque Regular" w:eastAsia="Brandon Grotesque Regular"/>
                <w:b/>
                <w:color w:val="auto"/>
                <w:spacing w:val="0"/>
                <w:position w:val="0"/>
                <w:sz w:val="22"/>
                <w:shd w:fill="auto" w:val="clear"/>
              </w:rPr>
              <w:t xml:space="preserve">ALUMNO (A)</w:t>
              <w:tab/>
              <w:t xml:space="preserve">:Sebastian Rivera Zagaceta</w:t>
            </w:r>
          </w:p>
        </w:tc>
      </w:tr>
    </w:tbl>
    <w:p>
      <w:pPr>
        <w:suppressAutoHyphens w:val="true"/>
        <w:spacing w:before="0" w:after="0" w:line="240"/>
        <w:ind w:right="0" w:left="0" w:firstLine="0"/>
        <w:jc w:val="left"/>
        <w:rPr>
          <w:rFonts w:ascii="Arial" w:hAnsi="Arial" w:cs="Arial" w:eastAsia="Arial"/>
          <w:b/>
          <w:color w:val="auto"/>
          <w:spacing w:val="0"/>
          <w:position w:val="0"/>
          <w:sz w:val="10"/>
          <w:shd w:fill="auto" w:val="clear"/>
        </w:rPr>
      </w:pPr>
    </w:p>
    <w:p>
      <w:pPr>
        <w:suppressAutoHyphens w:val="true"/>
        <w:spacing w:before="0" w:after="0" w:line="240"/>
        <w:ind w:right="0" w:left="0" w:firstLine="0"/>
        <w:jc w:val="center"/>
        <w:rPr>
          <w:rFonts w:ascii="Calibri" w:hAnsi="Calibri" w:cs="Calibri" w:eastAsia="Calibri"/>
          <w:b/>
          <w:color w:val="auto"/>
          <w:spacing w:val="0"/>
          <w:position w:val="0"/>
          <w:sz w:val="28"/>
          <w:u w:val="single"/>
          <w:shd w:fill="auto" w:val="clear"/>
        </w:rPr>
      </w:pPr>
    </w:p>
    <w:p>
      <w:pPr>
        <w:suppressAutoHyphens w:val="true"/>
        <w:spacing w:before="0" w:after="0" w:line="240"/>
        <w:ind w:right="0" w:left="0" w:firstLine="0"/>
        <w:jc w:val="center"/>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EVALUACIÓN DE LABORATIO T3</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p>
    <w:p>
      <w:pPr>
        <w:keepNext w:val="true"/>
        <w:suppressAutoHyphens w:val="true"/>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Consideraciones generales:</w:t>
      </w:r>
    </w:p>
    <w:p>
      <w:pPr>
        <w:numPr>
          <w:ilvl w:val="0"/>
          <w:numId w:val="9"/>
        </w:numPr>
        <w:tabs>
          <w:tab w:val="left" w:pos="360" w:leader="none"/>
        </w:tabs>
        <w:suppressAutoHyphens w:val="true"/>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 considerará el orden, la claridad de las respuestas y las buenas prácticas</w:t>
      </w:r>
      <w:r>
        <w:rPr>
          <w:rFonts w:ascii="Calibri" w:hAnsi="Calibri" w:cs="Calibri" w:eastAsia="Calibri"/>
          <w:color w:val="auto"/>
          <w:spacing w:val="0"/>
          <w:position w:val="0"/>
          <w:sz w:val="22"/>
          <w:shd w:fill="auto" w:val="clear"/>
        </w:rPr>
        <w:t xml:space="preserve">.</w:t>
      </w:r>
    </w:p>
    <w:p>
      <w:pPr>
        <w:numPr>
          <w:ilvl w:val="0"/>
          <w:numId w:val="9"/>
        </w:numPr>
        <w:tabs>
          <w:tab w:val="left" w:pos="360" w:leader="none"/>
        </w:tabs>
        <w:suppressAutoHyphens w:val="true"/>
        <w:spacing w:before="0" w:after="0" w:line="240"/>
        <w:ind w:right="0" w:left="36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preguntas deben resolverse de acuerdo con los conceptos discutidos o analizados en clase. Para ello, aplicará su propio criterio para dar una solución a los problemas planteados</w:t>
      </w:r>
    </w:p>
    <w:p>
      <w:pPr>
        <w:suppressAutoHyphens w:val="true"/>
        <w:spacing w:before="0" w:after="0" w:line="240"/>
        <w:ind w:right="0" w:left="0" w:firstLine="0"/>
        <w:jc w:val="both"/>
        <w:rPr>
          <w:rFonts w:ascii="Calibri" w:hAnsi="Calibri" w:cs="Calibri" w:eastAsia="Calibri"/>
          <w:color w:val="auto"/>
          <w:spacing w:val="0"/>
          <w:position w:val="0"/>
          <w:sz w:val="22"/>
          <w:shd w:fill="auto" w:val="clear"/>
        </w:rPr>
      </w:pPr>
    </w:p>
    <w:p>
      <w:pPr>
        <w:suppressAutoHyphens w:val="true"/>
        <w:spacing w:before="0" w:after="0" w:line="240"/>
        <w:ind w:right="0" w:left="0" w:firstLine="0"/>
        <w:jc w:val="both"/>
        <w:rPr>
          <w:rFonts w:ascii="Calibri" w:hAnsi="Calibri" w:cs="Calibri" w:eastAsia="Calibri"/>
          <w:color w:val="auto"/>
          <w:spacing w:val="0"/>
          <w:position w:val="0"/>
          <w:sz w:val="22"/>
          <w:shd w:fill="auto" w:val="clear"/>
        </w:rPr>
      </w:pPr>
    </w:p>
    <w:tbl>
      <w:tblPr/>
      <w:tblGrid>
        <w:gridCol w:w="8494"/>
      </w:tblGrid>
      <w:tr>
        <w:trPr>
          <w:trHeight w:val="1" w:hRule="atLeast"/>
          <w:jc w:val="left"/>
        </w:trPr>
        <w:tc>
          <w:tcPr>
            <w:tcW w:w="84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LOGRO DE LA EVALUACION:</w:t>
            </w:r>
          </w:p>
          <w:p>
            <w:pPr>
              <w:suppressAutoHyphens w:val="true"/>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 término de la evaluación, el alumno propone una solución con Microservicios y realiza la prueba de concepto de esta.</w:t>
            </w:r>
          </w:p>
          <w:p>
            <w:pPr>
              <w:suppressAutoHyphens w:val="true"/>
              <w:spacing w:before="0" w:after="0" w:line="276"/>
              <w:ind w:right="0" w:left="0" w:firstLine="0"/>
              <w:jc w:val="both"/>
              <w:rPr>
                <w:rFonts w:ascii="Calibri" w:hAnsi="Calibri" w:cs="Calibri" w:eastAsia="Calibri"/>
                <w:color w:val="auto"/>
                <w:spacing w:val="0"/>
                <w:position w:val="0"/>
                <w:sz w:val="22"/>
                <w:shd w:fill="auto" w:val="clear"/>
              </w:rPr>
            </w:pPr>
          </w:p>
        </w:tc>
      </w:tr>
    </w:tbl>
    <w:p>
      <w:pPr>
        <w:suppressAutoHyphens w:val="true"/>
        <w:spacing w:before="0" w:after="0" w:line="240"/>
        <w:ind w:right="0" w:left="0" w:firstLine="0"/>
        <w:jc w:val="both"/>
        <w:rPr>
          <w:rFonts w:ascii="Brandon Grotesque Regular" w:hAnsi="Brandon Grotesque Regular" w:cs="Brandon Grotesque Regular" w:eastAsia="Brandon Grotesque Regular"/>
          <w:b/>
          <w:color w:val="auto"/>
          <w:spacing w:val="0"/>
          <w:position w:val="0"/>
          <w:sz w:val="22"/>
          <w:u w:val="single"/>
          <w:shd w:fill="auto" w:val="clear"/>
        </w:rPr>
      </w:pPr>
    </w:p>
    <w:p>
      <w:pPr>
        <w:suppressAutoHyphens w:val="true"/>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Consolidado</w:t>
      </w:r>
    </w:p>
    <w:p>
      <w:pPr>
        <w:suppressAutoHyphens w:val="true"/>
        <w:spacing w:before="0" w:after="0" w:line="240"/>
        <w:ind w:right="0" w:left="0" w:firstLine="0"/>
        <w:jc w:val="both"/>
        <w:rPr>
          <w:rFonts w:ascii="Times New Roman" w:hAnsi="Times New Roman" w:cs="Times New Roman" w:eastAsia="Times New Roman"/>
          <w:b/>
          <w:color w:val="auto"/>
          <w:spacing w:val="0"/>
          <w:position w:val="0"/>
          <w:sz w:val="22"/>
          <w:u w:val="single"/>
          <w:shd w:fill="auto" w:val="clear"/>
        </w:rPr>
      </w:pPr>
    </w:p>
    <w:tbl>
      <w:tblPr/>
      <w:tblGrid>
        <w:gridCol w:w="1055"/>
        <w:gridCol w:w="1067"/>
        <w:gridCol w:w="1134"/>
        <w:gridCol w:w="3508"/>
        <w:gridCol w:w="1730"/>
      </w:tblGrid>
      <w:tr>
        <w:trPr>
          <w:trHeight w:val="1" w:hRule="atLeast"/>
          <w:jc w:val="left"/>
        </w:trPr>
        <w:tc>
          <w:tcPr>
            <w:tcW w:w="1055"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Pregunta</w:t>
            </w:r>
          </w:p>
        </w:tc>
        <w:tc>
          <w:tcPr>
            <w:tcW w:w="220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Puntaje</w:t>
            </w:r>
          </w:p>
        </w:tc>
        <w:tc>
          <w:tcPr>
            <w:tcW w:w="523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Llenar solo en caso de Recalificación justificada</w:t>
            </w:r>
          </w:p>
        </w:tc>
      </w:tr>
      <w:tr>
        <w:trPr>
          <w:trHeight w:val="1" w:hRule="atLeast"/>
          <w:jc w:val="left"/>
        </w:trPr>
        <w:tc>
          <w:tcPr>
            <w:tcW w:w="105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c>
          <w:tcPr>
            <w:tcW w:w="10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Máximo</w:t>
            </w:r>
          </w:p>
        </w:tc>
        <w:tc>
          <w:tcPr>
            <w:tcW w:w="11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Obtenido</w:t>
            </w:r>
          </w:p>
        </w:tc>
        <w:tc>
          <w:tcPr>
            <w:tcW w:w="3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Sustento</w:t>
            </w:r>
          </w:p>
        </w:tc>
        <w:tc>
          <w:tcPr>
            <w:tcW w:w="17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Puntaje</w:t>
            </w:r>
          </w:p>
        </w:tc>
      </w:tr>
      <w:tr>
        <w:trPr>
          <w:trHeight w:val="1" w:hRule="atLeast"/>
          <w:jc w:val="left"/>
        </w:trPr>
        <w:tc>
          <w:tcPr>
            <w:tcW w:w="10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w:t>
            </w:r>
          </w:p>
        </w:tc>
        <w:tc>
          <w:tcPr>
            <w:tcW w:w="10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03</w:t>
            </w:r>
          </w:p>
        </w:tc>
        <w:tc>
          <w:tcPr>
            <w:tcW w:w="11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p>
        </w:tc>
        <w:tc>
          <w:tcPr>
            <w:tcW w:w="3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p>
        </w:tc>
        <w:tc>
          <w:tcPr>
            <w:tcW w:w="17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0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w:t>
            </w:r>
          </w:p>
        </w:tc>
        <w:tc>
          <w:tcPr>
            <w:tcW w:w="10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07</w:t>
            </w:r>
          </w:p>
        </w:tc>
        <w:tc>
          <w:tcPr>
            <w:tcW w:w="11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p>
        </w:tc>
        <w:tc>
          <w:tcPr>
            <w:tcW w:w="3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p>
        </w:tc>
        <w:tc>
          <w:tcPr>
            <w:tcW w:w="17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0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p>
        </w:tc>
        <w:tc>
          <w:tcPr>
            <w:tcW w:w="10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10</w:t>
            </w:r>
          </w:p>
        </w:tc>
        <w:tc>
          <w:tcPr>
            <w:tcW w:w="11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p>
        </w:tc>
        <w:tc>
          <w:tcPr>
            <w:tcW w:w="3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p>
        </w:tc>
        <w:tc>
          <w:tcPr>
            <w:tcW w:w="17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490" w:hRule="auto"/>
          <w:jc w:val="left"/>
        </w:trPr>
        <w:tc>
          <w:tcPr>
            <w:tcW w:w="6764"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40"/>
              <w:ind w:right="0" w:left="0" w:firstLine="0"/>
              <w:jc w:val="righ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Nota Recalificada</w:t>
            </w:r>
          </w:p>
        </w:tc>
        <w:tc>
          <w:tcPr>
            <w:tcW w:w="17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p>
        </w:tc>
      </w:tr>
    </w:tbl>
    <w:p>
      <w:pPr>
        <w:suppressAutoHyphens w:val="true"/>
        <w:spacing w:before="0" w:after="0" w:line="240"/>
        <w:ind w:right="0" w:left="0" w:firstLine="0"/>
        <w:jc w:val="both"/>
        <w:rPr>
          <w:rFonts w:ascii="Brandon Grotesque Regular" w:hAnsi="Brandon Grotesque Regular" w:cs="Brandon Grotesque Regular" w:eastAsia="Brandon Grotesque Regular"/>
          <w:b/>
          <w:color w:val="auto"/>
          <w:spacing w:val="0"/>
          <w:position w:val="0"/>
          <w:sz w:val="22"/>
          <w:u w:val="single"/>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36"/>
        </w:numPr>
        <w:spacing w:before="120" w:after="120" w:line="240"/>
        <w:ind w:right="0" w:left="284" w:hanging="284"/>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Definición del caso:</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 su respectivo equipo seleccione una empresa que haya utilizado en algún curso a lo largo de la carrera, describa al menos 4 áreas importantes, y justifique la importancia de implementar una arquitectura de microservicios.</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El Banco de Crédito del Perú (BCP)</w:t>
      </w:r>
      <w:r>
        <w:rPr>
          <w:rFonts w:ascii="Calibri" w:hAnsi="Calibri" w:cs="Calibri" w:eastAsia="Calibri"/>
          <w:color w:val="auto"/>
          <w:spacing w:val="0"/>
          <w:position w:val="0"/>
          <w:sz w:val="22"/>
          <w:shd w:fill="auto" w:val="clear"/>
        </w:rPr>
        <w:t xml:space="preserve"> es una de las principales entidades bancarias del país, con una trayectoria sólida y presencia en múltiples sectores financieros. El BCP se ha utilizado como caso de estudio en diversos cursos debido a su compleja estructura organizativa, manejo de datos y tecnología, además de su rol fundamental en la economía peruana. La empresa ofrece una amplia gama de servicios financieros, desde cuentas bancarias hasta préstamos, tarjetas de crédito y servicios de banca digital.</w:t>
      </w:r>
    </w:p>
    <w:p>
      <w:pPr>
        <w:suppressAutoHyphens w:val="true"/>
        <w:spacing w:before="12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 Áreas importantes de la empresa</w:t>
      </w:r>
      <w:r>
        <w:rPr>
          <w:rFonts w:ascii="Calibri" w:hAnsi="Calibri" w:cs="Calibri" w:eastAsia="Calibri"/>
          <w:color w:val="auto"/>
          <w:spacing w:val="0"/>
          <w:position w:val="0"/>
          <w:sz w:val="22"/>
          <w:shd w:fill="auto" w:val="clear"/>
        </w:rPr>
        <w:br/>
        <w:t xml:space="preserve">A continuación, se detallan cuatro áreas clave dentro del BCP:</w:t>
      </w:r>
    </w:p>
    <w:p>
      <w:pPr>
        <w:numPr>
          <w:ilvl w:val="0"/>
          <w:numId w:val="39"/>
        </w:numPr>
        <w:tabs>
          <w:tab w:val="left" w:pos="720" w:leader="none"/>
        </w:tabs>
        <w:suppressAutoHyphens w:val="true"/>
        <w:spacing w:before="120" w:after="12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Área de Banca Digital</w:t>
      </w:r>
      <w:r>
        <w:rPr>
          <w:rFonts w:ascii="Calibri" w:hAnsi="Calibri" w:cs="Calibri" w:eastAsia="Calibri"/>
          <w:color w:val="auto"/>
          <w:spacing w:val="0"/>
          <w:position w:val="0"/>
          <w:sz w:val="22"/>
          <w:shd w:fill="auto" w:val="clear"/>
        </w:rPr>
        <w:br/>
        <w:t xml:space="preserve">Responsable del desarrollo y mantenimiento de la plataforma digital del banco, que incluye la banca por internet y aplicaciones móviles. Esta área garantiza que los clientes puedan realizar transacciones y consultas de manera rápida y segura, ofreciendo una experiencia digital moderna y eficiente.</w:t>
      </w:r>
    </w:p>
    <w:p>
      <w:pPr>
        <w:numPr>
          <w:ilvl w:val="0"/>
          <w:numId w:val="39"/>
        </w:numPr>
        <w:tabs>
          <w:tab w:val="left" w:pos="720" w:leader="none"/>
        </w:tabs>
        <w:suppressAutoHyphens w:val="true"/>
        <w:spacing w:before="120" w:after="12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Área de Crédito y Riesgo</w:t>
      </w:r>
      <w:r>
        <w:rPr>
          <w:rFonts w:ascii="Calibri" w:hAnsi="Calibri" w:cs="Calibri" w:eastAsia="Calibri"/>
          <w:color w:val="auto"/>
          <w:spacing w:val="0"/>
          <w:position w:val="0"/>
          <w:sz w:val="22"/>
          <w:shd w:fill="auto" w:val="clear"/>
        </w:rPr>
        <w:br/>
        <w:t xml:space="preserve">Esta área se encarga de la evaluación y aprobación de créditos para clientes personales y empresariales. El análisis de riesgo es fundamental para asegurar que los préstamos otorgados tengan una alta probabilidad de ser pagados, minimizando así las pérdidas para el banco.</w:t>
      </w:r>
    </w:p>
    <w:p>
      <w:pPr>
        <w:numPr>
          <w:ilvl w:val="0"/>
          <w:numId w:val="39"/>
        </w:numPr>
        <w:tabs>
          <w:tab w:val="left" w:pos="720" w:leader="none"/>
        </w:tabs>
        <w:suppressAutoHyphens w:val="true"/>
        <w:spacing w:before="120" w:after="12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Área de Atención al Cliente</w:t>
      </w:r>
      <w:r>
        <w:rPr>
          <w:rFonts w:ascii="Calibri" w:hAnsi="Calibri" w:cs="Calibri" w:eastAsia="Calibri"/>
          <w:color w:val="auto"/>
          <w:spacing w:val="0"/>
          <w:position w:val="0"/>
          <w:sz w:val="22"/>
          <w:shd w:fill="auto" w:val="clear"/>
        </w:rPr>
        <w:br/>
        <w:t xml:space="preserve">El BCP tiene una fuerte estructura de atención al cliente a través de múltiples canales: sucursales físicas, call centers y chat en línea. El objetivo de esta área es resolver consultas y brindar soluciones a los problemas que puedan enfrentar los usuarios en sus operaciones bancarias diarias.</w:t>
      </w:r>
    </w:p>
    <w:p>
      <w:pPr>
        <w:numPr>
          <w:ilvl w:val="0"/>
          <w:numId w:val="39"/>
        </w:numPr>
        <w:tabs>
          <w:tab w:val="left" w:pos="720" w:leader="none"/>
        </w:tabs>
        <w:suppressAutoHyphens w:val="true"/>
        <w:spacing w:before="120" w:after="12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Área de Finanzas y Tesorería</w:t>
      </w:r>
      <w:r>
        <w:rPr>
          <w:rFonts w:ascii="Calibri" w:hAnsi="Calibri" w:cs="Calibri" w:eastAsia="Calibri"/>
          <w:color w:val="auto"/>
          <w:spacing w:val="0"/>
          <w:position w:val="0"/>
          <w:sz w:val="22"/>
          <w:shd w:fill="auto" w:val="clear"/>
        </w:rPr>
        <w:br/>
        <w:t xml:space="preserve">Gestiona los recursos financieros del banco, incluyendo la administración de inversiones, control del flujo de caja y gestión de capital. Esta área es crucial para mantener la estabilidad financiera del BCP y cumplir con los requisitos regulatorios.</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 Justificación de la importancia de implementar una arquitectura de microservicios</w:t>
      </w:r>
      <w:r>
        <w:rPr>
          <w:rFonts w:ascii="Calibri" w:hAnsi="Calibri" w:cs="Calibri" w:eastAsia="Calibri"/>
          <w:color w:val="auto"/>
          <w:spacing w:val="0"/>
          <w:position w:val="0"/>
          <w:sz w:val="22"/>
          <w:shd w:fill="auto" w:val="clear"/>
        </w:rPr>
        <w:br/>
        <w:t xml:space="preserve">La adopción de una </w:t>
      </w:r>
      <w:r>
        <w:rPr>
          <w:rFonts w:ascii="Calibri" w:hAnsi="Calibri" w:cs="Calibri" w:eastAsia="Calibri"/>
          <w:b/>
          <w:color w:val="auto"/>
          <w:spacing w:val="0"/>
          <w:position w:val="0"/>
          <w:sz w:val="22"/>
          <w:shd w:fill="auto" w:val="clear"/>
        </w:rPr>
        <w:t xml:space="preserve">arquitectura de microservicios</w:t>
      </w:r>
      <w:r>
        <w:rPr>
          <w:rFonts w:ascii="Calibri" w:hAnsi="Calibri" w:cs="Calibri" w:eastAsia="Calibri"/>
          <w:color w:val="auto"/>
          <w:spacing w:val="0"/>
          <w:position w:val="0"/>
          <w:sz w:val="22"/>
          <w:shd w:fill="auto" w:val="clear"/>
        </w:rPr>
        <w:t xml:space="preserve"> en el BCP sería altamente beneficiosa debido a las siguientes razones:</w:t>
      </w:r>
    </w:p>
    <w:p>
      <w:pPr>
        <w:numPr>
          <w:ilvl w:val="0"/>
          <w:numId w:val="41"/>
        </w:numPr>
        <w:tabs>
          <w:tab w:val="left" w:pos="720" w:leader="none"/>
        </w:tabs>
        <w:suppressAutoHyphens w:val="true"/>
        <w:spacing w:before="120" w:after="12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Modularidad y Escalabilidad:</w:t>
      </w:r>
      <w:r>
        <w:rPr>
          <w:rFonts w:ascii="Calibri" w:hAnsi="Calibri" w:cs="Calibri" w:eastAsia="Calibri"/>
          <w:color w:val="auto"/>
          <w:spacing w:val="0"/>
          <w:position w:val="0"/>
          <w:sz w:val="22"/>
          <w:shd w:fill="auto" w:val="clear"/>
        </w:rPr>
        <w:t xml:space="preserve"> Cada una de las áreas del BCP, como la banca digital o la atención al cliente, tiene necesidades distintas en cuanto a infraestructura y procesamiento. La arquitectura de microservicios permite que cada área pueda escalar de forma independiente, lo que es esencial en épocas de alta demanda, como el cierre de mes o eventos especiales como el Black Friday.</w:t>
      </w:r>
    </w:p>
    <w:p>
      <w:pPr>
        <w:numPr>
          <w:ilvl w:val="0"/>
          <w:numId w:val="41"/>
        </w:numPr>
        <w:tabs>
          <w:tab w:val="left" w:pos="720" w:leader="none"/>
        </w:tabs>
        <w:suppressAutoHyphens w:val="true"/>
        <w:spacing w:before="120" w:after="12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Agilidad en el desarrollo:</w:t>
      </w:r>
      <w:r>
        <w:rPr>
          <w:rFonts w:ascii="Calibri" w:hAnsi="Calibri" w:cs="Calibri" w:eastAsia="Calibri"/>
          <w:color w:val="auto"/>
          <w:spacing w:val="0"/>
          <w:position w:val="0"/>
          <w:sz w:val="22"/>
          <w:shd w:fill="auto" w:val="clear"/>
        </w:rPr>
        <w:t xml:space="preserve"> La arquitectura de microservicios permite que cada equipo trabaje de forma aislada en sus propios módulos. Por ejemplo, el equipo de banca digital podría lanzar nuevas funcionalidades en la aplicación móvil sin interferir en los sistemas de crédito o atención al cliente. Esto acelera los tiempos de desarrollo y lanzamiento de productos.</w:t>
      </w:r>
    </w:p>
    <w:p>
      <w:pPr>
        <w:numPr>
          <w:ilvl w:val="0"/>
          <w:numId w:val="41"/>
        </w:numPr>
        <w:tabs>
          <w:tab w:val="left" w:pos="720" w:leader="none"/>
        </w:tabs>
        <w:suppressAutoHyphens w:val="true"/>
        <w:spacing w:before="120" w:after="12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Resiliencia:</w:t>
      </w:r>
      <w:r>
        <w:rPr>
          <w:rFonts w:ascii="Calibri" w:hAnsi="Calibri" w:cs="Calibri" w:eastAsia="Calibri"/>
          <w:color w:val="auto"/>
          <w:spacing w:val="0"/>
          <w:position w:val="0"/>
          <w:sz w:val="22"/>
          <w:shd w:fill="auto" w:val="clear"/>
        </w:rPr>
        <w:t xml:space="preserve"> Al estar compuesto por microservicios independientes, un fallo en un área específica, como el sistema de atención al cliente, no afectará el funcionamiento de otros servicios como el sistema de créditos o la banca digital. Esto asegura una mayor estabilidad operativa y una mejor experiencia para los usuarios.</w:t>
      </w:r>
    </w:p>
    <w:p>
      <w:pPr>
        <w:numPr>
          <w:ilvl w:val="0"/>
          <w:numId w:val="41"/>
        </w:numPr>
        <w:tabs>
          <w:tab w:val="left" w:pos="720" w:leader="none"/>
        </w:tabs>
        <w:suppressAutoHyphens w:val="true"/>
        <w:spacing w:before="120" w:after="12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Flexibilidad tecnológica:</w:t>
      </w:r>
      <w:r>
        <w:rPr>
          <w:rFonts w:ascii="Calibri" w:hAnsi="Calibri" w:cs="Calibri" w:eastAsia="Calibri"/>
          <w:color w:val="auto"/>
          <w:spacing w:val="0"/>
          <w:position w:val="0"/>
          <w:sz w:val="22"/>
          <w:shd w:fill="auto" w:val="clear"/>
        </w:rPr>
        <w:t xml:space="preserve"> En un entorno bancario altamente regulado y competitivo, el BCP necesita incorporar nuevas tecnologías rápidamente. La arquitectura de microservicios permite integrar tecnologías modernas, como análisis de datos avanzados o inteligencia artificial, sin necesidad de modificar toda la infraestructura existente.</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Implementar una arquitectura de microservicios en el BCP no solo mejoraría la eficiencia interna y la capacidad de escalar los servicios, sino que también permitiría al banco adaptarse con mayor rapidez a los cambios del mercado y las demandas regulatorias, garantizando así una operación fluida y segura para sus millones de clientes.</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p>
    <w:tbl>
      <w:tblPr/>
      <w:tblGrid>
        <w:gridCol w:w="1639"/>
        <w:gridCol w:w="1746"/>
        <w:gridCol w:w="1732"/>
        <w:gridCol w:w="1733"/>
        <w:gridCol w:w="1644"/>
      </w:tblGrid>
      <w:tr>
        <w:trPr>
          <w:trHeight w:val="1" w:hRule="atLeast"/>
          <w:jc w:val="left"/>
        </w:trPr>
        <w:tc>
          <w:tcPr>
            <w:tcW w:w="8494" w:type="dxa"/>
            <w:gridSpan w:val="5"/>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uppressAutoHyphens w:val="true"/>
              <w:spacing w:before="60" w:after="6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Rúbrica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Pregunta 1</w:t>
            </w:r>
          </w:p>
        </w:tc>
      </w:tr>
      <w:tr>
        <w:trPr>
          <w:trHeight w:val="1" w:hRule="atLeast"/>
          <w:jc w:val="left"/>
        </w:trPr>
        <w:tc>
          <w:tcPr>
            <w:tcW w:w="16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Puntaje</w:t>
            </w:r>
          </w:p>
        </w:tc>
        <w:tc>
          <w:tcPr>
            <w:tcW w:w="17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Excelente</w:t>
            </w:r>
          </w:p>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(3 puntos)</w:t>
            </w:r>
          </w:p>
        </w:tc>
        <w:tc>
          <w:tcPr>
            <w:tcW w:w="17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Bueno</w:t>
            </w:r>
          </w:p>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(2 puntos)</w:t>
            </w:r>
          </w:p>
        </w:tc>
        <w:tc>
          <w:tcPr>
            <w:tcW w:w="17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Regular</w:t>
            </w:r>
          </w:p>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(1 puntos)</w:t>
            </w:r>
          </w:p>
        </w:tc>
        <w:tc>
          <w:tcPr>
            <w:tcW w:w="16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Deficiente</w:t>
            </w:r>
          </w:p>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(0 puntos)</w:t>
            </w:r>
          </w:p>
        </w:tc>
      </w:tr>
      <w:tr>
        <w:trPr>
          <w:trHeight w:val="1" w:hRule="atLeast"/>
          <w:jc w:val="left"/>
        </w:trPr>
        <w:tc>
          <w:tcPr>
            <w:tcW w:w="16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Definición del caso</w:t>
            </w:r>
          </w:p>
        </w:tc>
        <w:tc>
          <w:tcPr>
            <w:tcW w:w="17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Describe las áreas correctamente y fundamenta el proceso elegido correctamente.</w:t>
            </w:r>
          </w:p>
        </w:tc>
        <w:tc>
          <w:tcPr>
            <w:tcW w:w="17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Describe las áreas correctamente y el proceso elegido tiene inconsistencia.</w:t>
            </w:r>
          </w:p>
        </w:tc>
        <w:tc>
          <w:tcPr>
            <w:tcW w:w="17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Describe el negocio correctamente.</w:t>
            </w:r>
          </w:p>
        </w:tc>
        <w:tc>
          <w:tcPr>
            <w:tcW w:w="16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Falta describir el negocio y proceso.</w:t>
            </w:r>
          </w:p>
        </w:tc>
      </w:tr>
    </w:tbl>
    <w:p>
      <w:pPr>
        <w:suppressAutoHyphens w:val="true"/>
        <w:spacing w:before="120" w:after="120" w:line="240"/>
        <w:ind w:right="0" w:left="0" w:firstLine="0"/>
        <w:jc w:val="both"/>
        <w:rPr>
          <w:rFonts w:ascii="Calibri" w:hAnsi="Calibri" w:cs="Calibri" w:eastAsia="Calibri"/>
          <w:b/>
          <w:color w:val="auto"/>
          <w:spacing w:val="0"/>
          <w:position w:val="0"/>
          <w:sz w:val="22"/>
          <w:u w:val="single"/>
          <w:shd w:fill="auto" w:val="clear"/>
        </w:rPr>
      </w:pPr>
    </w:p>
    <w:p>
      <w:pPr>
        <w:numPr>
          <w:ilvl w:val="0"/>
          <w:numId w:val="53"/>
        </w:numPr>
        <w:spacing w:before="120" w:after="120" w:line="240"/>
        <w:ind w:right="0" w:left="284" w:hanging="284"/>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Arquitectura de microservicios:</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Realizar un diagrama considerando la comunicación entre los microservicios propuestos base de datos y aplicaciones Frontend. Describa de cómo sería la operativa de los microservicios propuestos en el punto anterior.</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r>
        <w:object w:dxaOrig="8163" w:dyaOrig="3831">
          <v:rect xmlns:o="urn:schemas-microsoft-com:office:office" xmlns:v="urn:schemas-microsoft-com:vml" id="rectole0000000001" style="width:408.150000pt;height:191.5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uppressAutoHyphens w:val="true"/>
        <w:spacing w:before="120" w:after="12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Descripción de la Operativa de los Microservicios de BCP</w:t>
      </w:r>
    </w:p>
    <w:p>
      <w:pPr>
        <w:suppressAutoHyphens w:val="true"/>
        <w:spacing w:before="120" w:after="120" w:line="240"/>
        <w:ind w:right="0" w:left="0" w:firstLine="0"/>
        <w:jc w:val="both"/>
        <w:rPr>
          <w:rFonts w:ascii="Calibri" w:hAnsi="Calibri" w:cs="Calibri" w:eastAsia="Calibri"/>
          <w:b/>
          <w:color w:val="auto"/>
          <w:spacing w:val="0"/>
          <w:position w:val="0"/>
          <w:sz w:val="22"/>
          <w:shd w:fill="auto" w:val="clear"/>
        </w:rPr>
      </w:pPr>
    </w:p>
    <w:p>
      <w:pPr>
        <w:numPr>
          <w:ilvl w:val="0"/>
          <w:numId w:val="55"/>
        </w:numPr>
        <w:tabs>
          <w:tab w:val="left" w:pos="720" w:leader="none"/>
        </w:tabs>
        <w:suppressAutoHyphens w:val="true"/>
        <w:spacing w:before="120" w:after="12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Frontend (Aplicaciones Web/Móviles)</w:t>
      </w:r>
      <w:r>
        <w:rPr>
          <w:rFonts w:ascii="Calibri" w:hAnsi="Calibri" w:cs="Calibri" w:eastAsia="Calibri"/>
          <w:color w:val="auto"/>
          <w:spacing w:val="0"/>
          <w:position w:val="0"/>
          <w:sz w:val="22"/>
          <w:shd w:fill="auto" w:val="clear"/>
        </w:rPr>
        <w:t xml:space="preserve">:</w:t>
      </w:r>
    </w:p>
    <w:p>
      <w:pPr>
        <w:numPr>
          <w:ilvl w:val="0"/>
          <w:numId w:val="55"/>
        </w:numPr>
        <w:tabs>
          <w:tab w:val="left" w:pos="1440" w:leader="none"/>
        </w:tabs>
        <w:suppressAutoHyphens w:val="true"/>
        <w:spacing w:before="120" w:after="120" w:line="240"/>
        <w:ind w:right="0" w:left="144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usuarios interactúan con la plataforma a través de aplicaciones web o móviles. Estas aplicaciones envían solicitudes a través de un API Gateway.</w:t>
      </w:r>
    </w:p>
    <w:p>
      <w:pPr>
        <w:numPr>
          <w:ilvl w:val="0"/>
          <w:numId w:val="55"/>
        </w:numPr>
        <w:tabs>
          <w:tab w:val="left" w:pos="720" w:leader="none"/>
        </w:tabs>
        <w:suppressAutoHyphens w:val="true"/>
        <w:spacing w:before="120" w:after="12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API Gateway</w:t>
      </w:r>
      <w:r>
        <w:rPr>
          <w:rFonts w:ascii="Calibri" w:hAnsi="Calibri" w:cs="Calibri" w:eastAsia="Calibri"/>
          <w:color w:val="auto"/>
          <w:spacing w:val="0"/>
          <w:position w:val="0"/>
          <w:sz w:val="22"/>
          <w:shd w:fill="auto" w:val="clear"/>
        </w:rPr>
        <w:t xml:space="preserve">:</w:t>
      </w:r>
    </w:p>
    <w:p>
      <w:pPr>
        <w:numPr>
          <w:ilvl w:val="0"/>
          <w:numId w:val="55"/>
        </w:numPr>
        <w:tabs>
          <w:tab w:val="left" w:pos="1440" w:leader="none"/>
        </w:tabs>
        <w:suppressAutoHyphens w:val="true"/>
        <w:spacing w:before="120" w:after="120" w:line="240"/>
        <w:ind w:right="0" w:left="144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Actúa como un punto de entrada único para todas las solicitudes. Se encarga de dirigir las solicitudes a los microservicios correspondientes, manejar la autenticación y la autorización, y realizar la agregación de respuestas si es necesario.</w:t>
      </w:r>
    </w:p>
    <w:p>
      <w:pPr>
        <w:numPr>
          <w:ilvl w:val="0"/>
          <w:numId w:val="55"/>
        </w:numPr>
        <w:tabs>
          <w:tab w:val="left" w:pos="720" w:leader="none"/>
        </w:tabs>
        <w:suppressAutoHyphens w:val="true"/>
        <w:spacing w:before="120" w:after="12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Microservicio de Banca Digital</w:t>
      </w:r>
      <w:r>
        <w:rPr>
          <w:rFonts w:ascii="Calibri" w:hAnsi="Calibri" w:cs="Calibri" w:eastAsia="Calibri"/>
          <w:color w:val="auto"/>
          <w:spacing w:val="0"/>
          <w:position w:val="0"/>
          <w:sz w:val="22"/>
          <w:shd w:fill="auto" w:val="clear"/>
        </w:rPr>
        <w:t xml:space="preserve">:</w:t>
      </w:r>
    </w:p>
    <w:p>
      <w:pPr>
        <w:numPr>
          <w:ilvl w:val="0"/>
          <w:numId w:val="55"/>
        </w:numPr>
        <w:tabs>
          <w:tab w:val="left" w:pos="1440" w:leader="none"/>
        </w:tabs>
        <w:suppressAutoHyphens w:val="true"/>
        <w:spacing w:before="120" w:after="120" w:line="240"/>
        <w:ind w:right="0" w:left="144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Gestiona todas las operaciones relacionadas con cuentas y transacciones. Se comunica con su base de datos para almacenar y recuperar información sobre usuarios y transacciones. Puede interactuar con otros microservicios, como el de Autenticación, para verificar la identidad del usuario.</w:t>
      </w:r>
    </w:p>
    <w:p>
      <w:pPr>
        <w:numPr>
          <w:ilvl w:val="0"/>
          <w:numId w:val="55"/>
        </w:numPr>
        <w:tabs>
          <w:tab w:val="left" w:pos="720" w:leader="none"/>
        </w:tabs>
        <w:suppressAutoHyphens w:val="true"/>
        <w:spacing w:before="120" w:after="12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Microservicio de Crédito y Riesgo</w:t>
      </w:r>
      <w:r>
        <w:rPr>
          <w:rFonts w:ascii="Calibri" w:hAnsi="Calibri" w:cs="Calibri" w:eastAsia="Calibri"/>
          <w:color w:val="auto"/>
          <w:spacing w:val="0"/>
          <w:position w:val="0"/>
          <w:sz w:val="22"/>
          <w:shd w:fill="auto" w:val="clear"/>
        </w:rPr>
        <w:t xml:space="preserve">:</w:t>
      </w:r>
    </w:p>
    <w:p>
      <w:pPr>
        <w:numPr>
          <w:ilvl w:val="0"/>
          <w:numId w:val="55"/>
        </w:numPr>
        <w:tabs>
          <w:tab w:val="left" w:pos="1440" w:leader="none"/>
        </w:tabs>
        <w:suppressAutoHyphens w:val="true"/>
        <w:spacing w:before="120" w:after="120" w:line="240"/>
        <w:ind w:right="0" w:left="144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Evalúa las solicitudes de crédito y gestiona el análisis de riesgo. Se comunica con su base de datos para acceder a la información del cliente y su historial crediticio. Puede recibir solicitudes del microservicio de Banca Digital cuando un usuario solicita un crédito.</w:t>
      </w:r>
    </w:p>
    <w:p>
      <w:pPr>
        <w:numPr>
          <w:ilvl w:val="0"/>
          <w:numId w:val="55"/>
        </w:numPr>
        <w:tabs>
          <w:tab w:val="left" w:pos="720" w:leader="none"/>
        </w:tabs>
        <w:suppressAutoHyphens w:val="true"/>
        <w:spacing w:before="120" w:after="12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Microservicio de Atención al Cliente</w:t>
      </w:r>
      <w:r>
        <w:rPr>
          <w:rFonts w:ascii="Calibri" w:hAnsi="Calibri" w:cs="Calibri" w:eastAsia="Calibri"/>
          <w:color w:val="auto"/>
          <w:spacing w:val="0"/>
          <w:position w:val="0"/>
          <w:sz w:val="22"/>
          <w:shd w:fill="auto" w:val="clear"/>
        </w:rPr>
        <w:t xml:space="preserve">:</w:t>
      </w:r>
    </w:p>
    <w:p>
      <w:pPr>
        <w:numPr>
          <w:ilvl w:val="0"/>
          <w:numId w:val="55"/>
        </w:numPr>
        <w:tabs>
          <w:tab w:val="left" w:pos="1440" w:leader="none"/>
        </w:tabs>
        <w:suppressAutoHyphens w:val="true"/>
        <w:spacing w:before="120" w:after="120" w:line="240"/>
        <w:ind w:right="0" w:left="144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Maneja las consultas y tickets de soporte. Se conecta a su base de datos para gestionar la información sobre tickets y consultas de los usuarios. Puede recibir información del microservicio de Banca Digital para resolver problemas relacionados con transacciones.</w:t>
      </w:r>
    </w:p>
    <w:p>
      <w:pPr>
        <w:numPr>
          <w:ilvl w:val="0"/>
          <w:numId w:val="55"/>
        </w:numPr>
        <w:tabs>
          <w:tab w:val="left" w:pos="720" w:leader="none"/>
        </w:tabs>
        <w:suppressAutoHyphens w:val="true"/>
        <w:spacing w:before="120" w:after="12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Microservicio de Finanzas y Tesorería</w:t>
      </w:r>
      <w:r>
        <w:rPr>
          <w:rFonts w:ascii="Calibri" w:hAnsi="Calibri" w:cs="Calibri" w:eastAsia="Calibri"/>
          <w:color w:val="auto"/>
          <w:spacing w:val="0"/>
          <w:position w:val="0"/>
          <w:sz w:val="22"/>
          <w:shd w:fill="auto" w:val="clear"/>
        </w:rPr>
        <w:t xml:space="preserve">:</w:t>
      </w:r>
    </w:p>
    <w:p>
      <w:pPr>
        <w:numPr>
          <w:ilvl w:val="0"/>
          <w:numId w:val="55"/>
        </w:numPr>
        <w:tabs>
          <w:tab w:val="left" w:pos="1440" w:leader="none"/>
        </w:tabs>
        <w:suppressAutoHyphens w:val="true"/>
        <w:spacing w:before="120" w:after="120" w:line="240"/>
        <w:ind w:right="0" w:left="144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Controla los flujos de caja y la gestión de inversiones. Se conecta a su base de datos para acceder a información financiera y generar reportes. Puede interactuar con otros microservicios para obtener información relevante sobre las transacciones</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p>
    <w:tbl>
      <w:tblPr/>
      <w:tblGrid>
        <w:gridCol w:w="1703"/>
        <w:gridCol w:w="1723"/>
        <w:gridCol w:w="1721"/>
        <w:gridCol w:w="1724"/>
        <w:gridCol w:w="1623"/>
      </w:tblGrid>
      <w:tr>
        <w:trPr>
          <w:trHeight w:val="1" w:hRule="atLeast"/>
          <w:jc w:val="left"/>
        </w:trPr>
        <w:tc>
          <w:tcPr>
            <w:tcW w:w="8494" w:type="dxa"/>
            <w:gridSpan w:val="5"/>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uppressAutoHyphens w:val="true"/>
              <w:spacing w:before="60" w:after="6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Rúbrica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Pregunta 2</w:t>
            </w:r>
          </w:p>
        </w:tc>
      </w:tr>
      <w:tr>
        <w:trPr>
          <w:trHeight w:val="1" w:hRule="atLeast"/>
          <w:jc w:val="left"/>
        </w:trPr>
        <w:tc>
          <w:tcPr>
            <w:tcW w:w="17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Puntaje</w:t>
            </w:r>
          </w:p>
        </w:tc>
        <w:tc>
          <w:tcPr>
            <w:tcW w:w="17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Excelente</w:t>
            </w:r>
          </w:p>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(7 puntos)</w:t>
            </w:r>
          </w:p>
        </w:tc>
        <w:tc>
          <w:tcPr>
            <w:tcW w:w="17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Bueno</w:t>
            </w:r>
          </w:p>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(5 puntos)</w:t>
            </w:r>
          </w:p>
        </w:tc>
        <w:tc>
          <w:tcPr>
            <w:tcW w:w="17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Regular</w:t>
            </w:r>
          </w:p>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(3 puntos)</w:t>
            </w:r>
          </w:p>
        </w:tc>
        <w:tc>
          <w:tcPr>
            <w:tcW w:w="16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Deficiente</w:t>
            </w:r>
          </w:p>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(0 puntos)</w:t>
            </w:r>
          </w:p>
        </w:tc>
      </w:tr>
      <w:tr>
        <w:trPr>
          <w:trHeight w:val="1" w:hRule="atLeast"/>
          <w:jc w:val="left"/>
        </w:trPr>
        <w:tc>
          <w:tcPr>
            <w:tcW w:w="17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Microservicios</w:t>
            </w:r>
          </w:p>
        </w:tc>
        <w:tc>
          <w:tcPr>
            <w:tcW w:w="17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Diagrama y fundamente la arquitectura correctamente considerando los buses de comunicación entre ellos.</w:t>
            </w:r>
          </w:p>
        </w:tc>
        <w:tc>
          <w:tcPr>
            <w:tcW w:w="17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Diagrama la arquitectura correctamente, pero la descripción carece de fundamento.</w:t>
            </w:r>
          </w:p>
        </w:tc>
        <w:tc>
          <w:tcPr>
            <w:tcW w:w="17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Diagrama la arquitectura y describe parcialmente.</w:t>
            </w:r>
          </w:p>
        </w:tc>
        <w:tc>
          <w:tcPr>
            <w:tcW w:w="16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Diagrama la arquitectura sin consistencia ni fundamento.</w:t>
            </w:r>
          </w:p>
        </w:tc>
      </w:tr>
    </w:tbl>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p>
    <w:p>
      <w:pPr>
        <w:numPr>
          <w:ilvl w:val="0"/>
          <w:numId w:val="78"/>
        </w:numPr>
        <w:spacing w:before="120" w:after="120" w:line="240"/>
        <w:ind w:right="0" w:left="284" w:hanging="284"/>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Definición del caso:</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Seleccione 3 operaciones del negocio según su grupo causen un impacto considerable a la solución propuesta y desarrollar lo siguiente:</w:t>
      </w:r>
    </w:p>
    <w:p>
      <w:pPr>
        <w:numPr>
          <w:ilvl w:val="0"/>
          <w:numId w:val="80"/>
        </w:numPr>
        <w:suppressAutoHyphens w:val="true"/>
        <w:spacing w:before="120" w:after="12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Cree un proyecto en Spring Boot con conexión a la base de datos de su negocio propuesto.</w:t>
      </w:r>
    </w:p>
    <w:p>
      <w:pPr>
        <w:numPr>
          <w:ilvl w:val="0"/>
          <w:numId w:val="80"/>
        </w:numPr>
        <w:suppressAutoHyphens w:val="true"/>
        <w:spacing w:before="120" w:after="12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Desarrolle las operaciones seleccionadas, utilizando Controller, Service, Repository, Transacctional, etc.</w:t>
      </w:r>
    </w:p>
    <w:p>
      <w:pPr>
        <w:numPr>
          <w:ilvl w:val="0"/>
          <w:numId w:val="80"/>
        </w:numPr>
        <w:suppressAutoHyphens w:val="true"/>
        <w:spacing w:before="120" w:after="12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Justifique el desarrollo de las 3 operaciones. </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Operaciones Seleccionadas</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Registro de Usuario (Crear Cuenta)</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Realizar Transacción (Transferencia)</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Solicitud de Crédito</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implementación de las operaciones de registro de usuario, transferencia de fondos y solicitud de crédito utilizando JPA en Spring Boot proporciona una base sólida para el funcionamiento de un sistema bancario digital. Cada operación se justifica por su importancia en la experiencia del cliente y la operativa del negocio. Utilizar JPA permite un manejo eficiente y seguro de la persistencia de datos, asegurando la integridad y consistencia de la información financiera.</w:t>
      </w:r>
    </w:p>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p>
    <w:tbl>
      <w:tblPr/>
      <w:tblGrid>
        <w:gridCol w:w="1653"/>
        <w:gridCol w:w="1702"/>
        <w:gridCol w:w="1740"/>
        <w:gridCol w:w="1740"/>
        <w:gridCol w:w="1659"/>
      </w:tblGrid>
      <w:tr>
        <w:trPr>
          <w:trHeight w:val="1" w:hRule="atLeast"/>
          <w:jc w:val="left"/>
        </w:trPr>
        <w:tc>
          <w:tcPr>
            <w:tcW w:w="8494" w:type="dxa"/>
            <w:gridSpan w:val="5"/>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uppressAutoHyphens w:val="true"/>
              <w:spacing w:before="60" w:after="6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Rúbrica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Pregunta 3</w:t>
            </w:r>
          </w:p>
        </w:tc>
      </w:tr>
      <w:tr>
        <w:trPr>
          <w:trHeight w:val="1" w:hRule="atLeast"/>
          <w:jc w:val="left"/>
        </w:trPr>
        <w:tc>
          <w:tcPr>
            <w:tcW w:w="16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Puntaje</w:t>
            </w:r>
          </w:p>
        </w:tc>
        <w:tc>
          <w:tcPr>
            <w:tcW w:w="17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Excelente</w:t>
            </w:r>
          </w:p>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(10 puntos)</w:t>
            </w:r>
          </w:p>
        </w:tc>
        <w:tc>
          <w:tcPr>
            <w:tcW w:w="1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Bueno</w:t>
            </w:r>
          </w:p>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(7 puntos)</w:t>
            </w:r>
          </w:p>
        </w:tc>
        <w:tc>
          <w:tcPr>
            <w:tcW w:w="1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Regular</w:t>
            </w:r>
          </w:p>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(5 puntos)</w:t>
            </w:r>
          </w:p>
        </w:tc>
        <w:tc>
          <w:tcPr>
            <w:tcW w:w="16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76"/>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Deficiente</w:t>
            </w:r>
          </w:p>
          <w:p>
            <w:pPr>
              <w:suppressAutoHyphens w:val="true"/>
              <w:spacing w:before="0" w:after="0" w:line="276"/>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(0 puntos)</w:t>
            </w:r>
          </w:p>
        </w:tc>
      </w:tr>
      <w:tr>
        <w:trPr>
          <w:trHeight w:val="1" w:hRule="atLeast"/>
          <w:jc w:val="left"/>
        </w:trPr>
        <w:tc>
          <w:tcPr>
            <w:tcW w:w="16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Microservicios Spring Boot.</w:t>
            </w:r>
          </w:p>
        </w:tc>
        <w:tc>
          <w:tcPr>
            <w:tcW w:w="17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Desarrolla y fundamente 3 operaciones propuestas.</w:t>
            </w:r>
          </w:p>
        </w:tc>
        <w:tc>
          <w:tcPr>
            <w:tcW w:w="1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Desarrolla y fundamente 2 operaciones propuestas.</w:t>
            </w:r>
          </w:p>
        </w:tc>
        <w:tc>
          <w:tcPr>
            <w:tcW w:w="1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Desarrolla y fundamenta una operación propuesta.</w:t>
            </w:r>
          </w:p>
        </w:tc>
        <w:tc>
          <w:tcPr>
            <w:tcW w:w="16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120" w:after="12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Crea el proyecto y no define ninguna operación.</w:t>
            </w:r>
          </w:p>
        </w:tc>
      </w:tr>
    </w:tbl>
    <w:p>
      <w:pPr>
        <w:suppressAutoHyphens w:val="true"/>
        <w:spacing w:before="120" w:after="120" w:line="240"/>
        <w:ind w:right="0" w:left="0" w:firstLine="0"/>
        <w:jc w:val="both"/>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9">
    <w:abstractNumId w:val="42"/>
  </w:num>
  <w:num w:numId="36">
    <w:abstractNumId w:val="36"/>
  </w:num>
  <w:num w:numId="39">
    <w:abstractNumId w:val="30"/>
  </w:num>
  <w:num w:numId="41">
    <w:abstractNumId w:val="24"/>
  </w:num>
  <w:num w:numId="53">
    <w:abstractNumId w:val="18"/>
  </w:num>
  <w:num w:numId="55">
    <w:abstractNumId w:val="12"/>
  </w:num>
  <w:num w:numId="78">
    <w:abstractNumId w:val="6"/>
  </w:num>
  <w:num w:numId="8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