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TOCHeading"/>
        <w:outlineLvl w:val="9"/>
      </w:pPr>
      <w:r>
        <w:t>Contents</w:t>
      </w:r>
    </w:p>
    <w:p>
      <w:pPr>
        <w:ind w:left="0"/>
        <w:spacing w:after="0"/>
      </w:pPr>
      <w:r>
        <w:fldChar w:fldCharType="begin" w:dirty="true"/>
      </w:r>
      <w:r>
        <w:instrText xml:space="preserve"> TOC \o "1-3" \h \z \u </w:instrText>
      </w:r>
      <w:r>
        <w:fldChar w:fldCharType="separate"/>
      </w:r>
      <w:r>
        <w:t xml:space="preserve">Overview</w:t>
      </w:r>
    </w:p>
    <w:p>
      <w:pPr>
        <w:ind w:left="0"/>
        <w:spacing w:after="0"/>
      </w:pPr>
      <w:r>
        <w:t xml:space="preserve">1. Introduction</w:t>
      </w:r>
    </w:p>
    <w:p>
      <w:pPr>
        <w:ind w:left="240"/>
        <w:spacing w:after="0"/>
      </w:pPr>
      <w:r>
        <w:t xml:space="preserve">1.1 Purpose</w:t>
      </w:r>
    </w:p>
    <w:p>
      <w:pPr>
        <w:ind w:left="240"/>
        <w:spacing w:after="0"/>
      </w:pPr>
      <w:r>
        <w:t xml:space="preserve">1.2 Scope</w:t>
      </w:r>
    </w:p>
    <w:p>
      <w:pPr>
        <w:ind w:left="480"/>
        <w:spacing w:after="0"/>
      </w:pPr>
      <w:r>
        <w:t xml:space="preserve">1.2.1 Out of scope</w:t>
      </w:r>
    </w:p>
    <w:p>
      <w:pPr>
        <w:ind w:left="240"/>
        <w:spacing w:after="0"/>
      </w:pPr>
      <w:r>
        <w:t xml:space="preserve">1.3 Definitions and Acronyms</w:t>
      </w:r>
    </w:p>
    <w:p>
      <w:pPr>
        <w:ind w:left="240"/>
        <w:spacing w:after="0"/>
      </w:pPr>
      <w:r>
        <w:t xml:space="preserve">1.4 References</w:t>
      </w:r>
    </w:p>
    <w:p>
      <w:pPr>
        <w:ind w:left="0"/>
        <w:spacing w:after="0"/>
      </w:pPr>
      <w:r>
        <w:t xml:space="preserve">2. Process View</w:t>
      </w:r>
    </w:p>
    <w:p>
      <w:pPr>
        <w:ind w:left="240"/>
        <w:spacing w:after="0"/>
      </w:pPr>
      <w:r>
        <w:t xml:space="preserve">2.1 Process Interaction</w:t>
      </w:r>
    </w:p>
    <w:p>
      <w:pPr>
        <w:ind w:left="480"/>
        <w:spacing w:after="0"/>
      </w:pPr>
      <w:r>
        <w:t xml:space="preserve">2.1.1 Participating components</w:t>
      </w:r>
    </w:p>
    <w:p>
      <w:pPr>
        <w:ind w:left="480"/>
        <w:spacing w:after="0"/>
      </w:pPr>
      <w:r>
        <w:t xml:space="preserve">2.1.2 Client-to-API communication</w:t>
      </w:r>
    </w:p>
    <w:p>
      <w:pPr>
        <w:ind w:left="480"/>
        <w:spacing w:after="0"/>
      </w:pPr>
      <w:r>
        <w:t xml:space="preserve">2.1.3 API-to-database and background communication</w:t>
      </w:r>
    </w:p>
    <w:p>
      <w:pPr>
        <w:ind w:left="480"/>
        <w:spacing w:after="0"/>
      </w:pPr>
      <w:r>
        <w:t xml:space="preserve">2.1.4 The request/middleware pipeline</w:t>
      </w:r>
    </w:p>
    <w:p>
      <w:pPr>
        <w:ind w:left="480"/>
        <w:spacing w:after="0"/>
      </w:pPr>
      <w:r>
        <w:t xml:space="preserve">2.1.5 Authentication and permission flow</w:t>
      </w:r>
    </w:p>
    <w:p>
      <w:pPr>
        <w:ind w:left="240"/>
        <w:spacing w:after="0"/>
      </w:pPr>
      <w:r>
        <w:t xml:space="preserve">2.2 Process Flow</w:t>
      </w:r>
    </w:p>
    <w:p>
      <w:pPr>
        <w:ind w:left="480"/>
        <w:spacing w:after="0"/>
      </w:pPr>
      <w:r>
        <w:t xml:space="preserve">2.2.1 Visitor sign-in with e-mail OTP</w:t>
      </w:r>
    </w:p>
    <w:p>
      <w:pPr>
        <w:ind w:left="480"/>
        <w:spacing w:after="0"/>
      </w:pPr>
      <w:r>
        <w:t xml:space="preserve">2.2.2 Admin permission-gated action</w:t>
      </w:r>
    </w:p>
    <w:p>
      <w:pPr>
        <w:ind w:left="480"/>
        <w:spacing w:after="0"/>
      </w:pPr>
      <w:r>
        <w:t xml:space="preserve">2.2.3 Seat reservation (auto-confirm, check-in confirmed)</w:t>
      </w:r>
    </w:p>
    <w:p>
      <w:pPr>
        <w:ind w:left="480"/>
        <w:spacing w:after="0"/>
      </w:pPr>
      <w:r>
        <w:t xml:space="preserve">2.2.4 Gate scan, idempotent</w:t>
      </w:r>
    </w:p>
    <w:p>
      <w:pPr>
        <w:ind w:left="0"/>
        <w:spacing w:after="0"/>
      </w:pPr>
      <w:r>
        <w:t xml:space="preserve">3. System Design</w:t>
      </w:r>
    </w:p>
    <w:p>
      <w:pPr>
        <w:ind w:left="240"/>
        <w:spacing w:after="0"/>
      </w:pPr>
      <w:r>
        <w:t xml:space="preserve">3.1 Use Case Realization</w:t>
      </w:r>
    </w:p>
    <w:p>
      <w:pPr>
        <w:ind w:left="480"/>
        <w:spacing w:after="0"/>
      </w:pPr>
      <w:r>
        <w:t xml:space="preserve">3.1.1 High Level Use Case</w:t>
      </w:r>
    </w:p>
    <w:p>
      <w:pPr>
        <w:ind w:left="480"/>
        <w:spacing w:after="0"/>
      </w:pPr>
      <w:r>
        <w:t xml:space="preserve">3.1.2 Low Level Use Cases</w:t>
      </w:r>
    </w:p>
    <w:p>
      <w:pPr>
        <w:ind w:left="0"/>
        <w:spacing w:after="0"/>
      </w:pPr>
      <w:r>
        <w:t xml:space="preserve">4. User Interfaces</w:t>
      </w:r>
    </w:p>
    <w:p>
      <w:pPr>
        <w:ind w:left="240"/>
        <w:spacing w:after="0"/>
      </w:pPr>
      <w:r>
        <w:t xml:space="preserve">4.1 Control Panel screens</w:t>
      </w:r>
    </w:p>
    <w:p>
      <w:pPr>
        <w:ind w:left="240"/>
        <w:spacing w:after="0"/>
      </w:pPr>
      <w:r>
        <w:t xml:space="preserve">4.2 Website screens</w:t>
      </w:r>
    </w:p>
    <w:p>
      <w:pPr>
        <w:ind w:left="240"/>
        <w:spacing w:after="0"/>
      </w:pPr>
      <w:r>
        <w:t xml:space="preserve">4.3 Mobile application screens</w:t>
      </w:r>
    </w:p>
    <w:p>
      <w:pPr>
        <w:ind w:left="0"/>
        <w:spacing w:after="0"/>
      </w:pPr>
      <w:r>
        <w:t xml:space="preserve">5. Module Description</w:t>
      </w:r>
    </w:p>
    <w:p>
      <w:pPr>
        <w:ind w:left="240"/>
        <w:spacing w:after="0"/>
      </w:pPr>
      <w:r>
        <w:t xml:space="preserve">5.1 Authentication &amp; Login</w:t>
      </w:r>
    </w:p>
    <w:p>
      <w:pPr>
        <w:ind w:left="240"/>
        <w:spacing w:after="0"/>
      </w:pPr>
      <w:r>
        <w:t xml:space="preserve">5.2 Registration &amp; Approval</w:t>
      </w:r>
    </w:p>
    <w:p>
      <w:pPr>
        <w:ind w:left="240"/>
        <w:spacing w:after="0"/>
      </w:pPr>
      <w:r>
        <w:t xml:space="preserve">5.3 Badge &amp; Access Control / Gates</w:t>
      </w:r>
    </w:p>
    <w:p>
      <w:pPr>
        <w:ind w:left="240"/>
        <w:spacing w:after="0"/>
      </w:pPr>
      <w:r>
        <w:t xml:space="preserve">5.4 Forum Programme &amp; Sessions</w:t>
      </w:r>
    </w:p>
    <w:p>
      <w:pPr>
        <w:ind w:left="240"/>
        <w:spacing w:after="0"/>
      </w:pPr>
      <w:r>
        <w:t xml:space="preserve">5.5 Bookings &amp; Attendance</w:t>
      </w:r>
    </w:p>
    <w:p>
      <w:pPr>
        <w:ind w:left="240"/>
        <w:spacing w:after="0"/>
      </w:pPr>
      <w:r>
        <w:t xml:space="preserve">5.6 Exhibition</w:t>
      </w:r>
    </w:p>
    <w:p>
      <w:pPr>
        <w:ind w:left="240"/>
        <w:spacing w:after="0"/>
      </w:pPr>
      <w:r>
        <w:t xml:space="preserve">5.7 Engagement, Live, Q&amp;A, Ratings</w:t>
      </w:r>
    </w:p>
    <w:p>
      <w:pPr>
        <w:ind w:left="240"/>
        <w:spacing w:after="0"/>
      </w:pPr>
      <w:r>
        <w:t xml:space="preserve">5.8 Networking and Cognitive AI</w:t>
      </w:r>
    </w:p>
    <w:p>
      <w:pPr>
        <w:ind w:left="240"/>
        <w:spacing w:after="0"/>
      </w:pPr>
      <w:r>
        <w:t xml:space="preserve">5.9 Notifications</w:t>
      </w:r>
    </w:p>
    <w:p>
      <w:pPr>
        <w:ind w:left="240"/>
        <w:spacing w:after="0"/>
      </w:pPr>
      <w:r>
        <w:t xml:space="preserve">5.10 Media, News &amp; Archive</w:t>
      </w:r>
    </w:p>
    <w:p>
      <w:pPr>
        <w:ind w:left="240"/>
        <w:spacing w:after="0"/>
      </w:pPr>
      <w:r>
        <w:t xml:space="preserve">5.11 Statistics &amp; Dashboards</w:t>
      </w:r>
    </w:p>
    <w:p>
      <w:pPr>
        <w:ind w:left="240"/>
        <w:spacing w:after="0"/>
      </w:pPr>
      <w:r>
        <w:t xml:space="preserve">5.12 Control Panel Configuration</w:t>
      </w:r>
    </w:p>
    <w:p>
      <w:pPr>
        <w:ind w:left="240"/>
        <w:spacing w:after="0"/>
      </w:pPr>
      <w:r>
        <w:t xml:space="preserve">5.13 Business Meetings</w:t>
      </w:r>
    </w:p>
    <w:p>
      <w:pPr>
        <w:ind w:left="240"/>
        <w:spacing w:after="0"/>
      </w:pPr>
      <w:r>
        <w:t xml:space="preserve">5.14 Contacts &amp; Sharing</w:t>
      </w:r>
    </w:p>
    <w:p>
      <w:pPr>
        <w:ind w:left="0"/>
        <w:spacing w:after="0"/>
      </w:pPr>
      <w:r>
        <w:t xml:space="preserve">6. Data Model</w:t>
      </w:r>
    </w:p>
    <w:p>
      <w:pPr>
        <w:ind w:left="240"/>
        <w:spacing w:after="0"/>
      </w:pPr>
      <w:r>
        <w:t xml:space="preserve">6.1 Conceptual View</w:t>
      </w:r>
    </w:p>
    <w:p>
      <w:pPr>
        <w:ind w:left="240"/>
        <w:spacing w:after="0"/>
      </w:pPr>
      <w:r>
        <w:t xml:space="preserve">6.2 ER Diagram</w:t>
      </w:r>
    </w:p>
    <w:p>
      <w:pPr>
        <w:ind w:left="240"/>
        <w:spacing w:after="0"/>
      </w:pPr>
      <w:r>
        <w:t xml:space="preserve">6.3 Schema Design</w:t>
      </w:r>
    </w:p>
    <w:p>
      <w:pPr>
        <w:ind w:left="480"/>
        <w:spacing w:after="0"/>
      </w:pPr>
      <w:r>
        <w:t xml:space="preserve">6.3.1 Data dictionary, key tables</w:t>
      </w:r>
    </w:p>
    <w:p>
      <w:pPr>
        <w:ind w:left="480"/>
        <w:spacing w:after="0"/>
      </w:pPr>
      <w:r>
        <w:t xml:space="preserve">6.3.2 Complete entity index</w:t>
      </w:r>
    </w:p>
    <w:p>
      <w:pPr>
        <w:ind w:left="0"/>
        <w:spacing w:after="0"/>
      </w:pPr>
      <w:r>
        <w:t xml:space="preserve">7. Solution Description</w:t>
      </w:r>
    </w:p>
    <w:p>
      <w:pPr>
        <w:ind w:left="240"/>
        <w:spacing w:after="0"/>
      </w:pPr>
      <w:r>
        <w:t xml:space="preserve">7.1 Logical View</w:t>
      </w:r>
    </w:p>
    <w:p>
      <w:pPr>
        <w:ind w:left="480"/>
        <w:spacing w:after="0"/>
      </w:pPr>
      <w:r>
        <w:t xml:space="preserve">7.1.1 Backend layers</w:t>
      </w:r>
    </w:p>
    <w:p>
      <w:pPr>
        <w:ind w:left="480"/>
        <w:spacing w:after="0"/>
      </w:pPr>
      <w:r>
        <w:t xml:space="preserve">7.1.2 Client and shared layers</w:t>
      </w:r>
    </w:p>
    <w:p>
      <w:pPr>
        <w:ind w:left="480"/>
        <w:spacing w:after="0"/>
      </w:pPr>
      <w:r>
        <w:t xml:space="preserve">7.1.3 Cross-cutting concerns</w:t>
      </w:r>
    </w:p>
    <w:p>
      <w:pPr>
        <w:ind w:left="240"/>
        <w:spacing w:after="0"/>
      </w:pPr>
      <w:r>
        <w:t xml:space="preserve">7.2 Solution Structure</w:t>
      </w:r>
    </w:p>
    <w:p>
      <w:pPr>
        <w:ind w:left="480"/>
        <w:spacing w:after="0"/>
      </w:pPr>
      <w:r>
        <w:t xml:space="preserve">7.2.1 Technology Stack</w:t>
      </w:r>
    </w:p>
    <w:p>
      <w:pPr>
        <w:ind w:left="480"/>
        <w:spacing w:after="0"/>
      </w:pPr>
      <w:r>
        <w:t xml:space="preserve">7.2.2 Backend Folder Structure</w:t>
      </w:r>
    </w:p>
    <w:p>
      <w:pPr>
        <w:ind w:left="480"/>
        <w:spacing w:after="0"/>
      </w:pPr>
      <w:r>
        <w:t xml:space="preserve">7.2.3 Frontend Folder Structure</w:t>
      </w:r>
    </w:p>
    <w:p>
      <w:pPr>
        <w:ind w:left="480"/>
        <w:spacing w:after="0"/>
      </w:pPr>
      <w:r>
        <w:t xml:space="preserve">7.2.4 Project Dependencies</w:t>
      </w:r>
    </w:p>
    <w:p>
      <w:pPr>
        <w:ind w:left="480"/>
        <w:spacing w:after="0"/>
      </w:pPr>
      <w:r>
        <w:t xml:space="preserve">7.2.5 Patterns &amp; Practices</w:t>
      </w:r>
    </w:p>
    <w:p>
      <w:pPr>
        <w:ind w:left="480"/>
        <w:spacing w:after="0"/>
      </w:pPr>
      <w:r>
        <w:t xml:space="preserve">7.2.6 Packages Inventory</w:t>
      </w:r>
      <w:r>
        <w:fldChar w:fldCharType="end"/>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 committed development secrets are flagged for owner/operations remediation before handover, not code deliverables of this design. The mobile self-signed-TLS bypass has been removed from the client and is no longer an open action.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rPr>
          <w:tblHeader/>
        </w:trPr>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RS256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t>11. Low-Level Design (SIMF-LLD-001): the internal detailed component and data design. It is a separate document from this one (SIMF-LLD-003) and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which reaches it through the mobile edge (SIMF.MobileEdge, the mobile presentation tier that the shipped app addresses and that forwards the app surface inward);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 are server-side Blazor apps that reach the API through the typed `SIMF.ApiClient`. The Control Panel uses `SimfAuthClient`, `SimfAccountClient` and `SimfAdminClient`; the Website uses only `SimfPublicClient`. Both are server-to-server calls: the browser never holds a raw bearer token. Under the BFF pattern the Control Panel endpoint layer performs the credential and second-factor steps, stores tokens in an encrypted cookie, holds the access token per-circuit in `SimfAuthSession`, and forwards it to the API on each call. The Website has no such flow: it signs nobody in and holds no bearer token.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They include `DormantAccountSweepService`, `RegistrationGateAutoCloseWorker`, `SessionReminderWorker`, `ReservationNoShowReleaseWorker` (the per-minute no-show seat release described in section 2.2.3), the rating-prompt, meeting-reminder and notification-broadcast workers, the retention and hall-attendance closeout sweeps, and the e-mail dispatcher. There is no separate worker server. Every one of them runs under a single-instance lease taken on the database, so with four API nodes each job still runs exactly once: one node holds the lease and the others wait, and a node that loses it stands its workers down rather than continuing in parallel.</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 are RS256 JWTs issued by `JwtTokenService`, carrying `sub`, `email`, `jti`, `security_stamp`, `account_state`, `user_type`, `mobile_app_role`, one claim per role, and one `perm` claim per permission code (the Administrator wildcard collapses to a single `*`). JWT validation pins the algorithm to RS256, validates issuer/audience/lifetime/signing, and runs a security-stamp check so revoking a role or disabling an account takes effect immediately. The signing key is asymmetric: the private half is held by the API inside HSA and the verifiers hold only the public half, so no presentation-tier host can mint a token.</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RS256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inactive; attendee bookings are confirmed on create.</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rPr>
          <w:tblHeader/>
        </w:trPr>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The legacy approve, reject and bulk-approve step is inactive: no attendee booking ever enters `Pending`.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entry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(at least one is required; a Saudi mobile must be `05XXXXXXXX` or `+9665XXXXXXXX`, an international mobile must be E.164).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edition check: a badge issued for a closed edition is denied with `OutsideTimeWindow`; a profile with no recorded edition is left alone.) 10. Resolve direction (In/Out/Both, infer from last allowed scan at this gate). 11. Allow-list check on `GateProfileTypeAllow` (empty = general pass; filtered-empty = deny-all safe default). (11.5 session-hall check: on a check-in at a hall door the attendee must be registered for the session behind it, else `BookingRequiredMissing`; a departure is never blocked and walk-in mode relaxes this rule only.)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(append-only by application convention; excluded from `RowAudit`); attendance/statistics and Q&amp;A arrival-gating fed (section 5.5).</w:t>
            </w:r>
          </w:p>
        </w:tc>
      </w:tr>
    </w:tbl>
    <w:p w14:paraId="41519DBA" w14:textId="77777777" w:rsidR="00EC1D65" w:rsidRDefault="00000000" w:rsidP="00055633">
      <w:r>
        <w:t>Companion: UC-11 view badge + QR (section 5.3).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A1 No attendee booking enters `Pending`, so no review queue stands on this path. A2 Attendee-facing release happens via the pre-start sweep that frees any hold not checked in, and via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once the session is live and its hall carries a geofence: composer not offered (gate, by design); a hall with no geofence still accepts the question.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(Exhibitor, approved).</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the nine reporting pages under `/admin/reports`, and `/admin/walk-in-mode`, `/admin/editions`, `/admin/visitors/badge-batches`, `/admin/sessions/live-hall`, `/admin/announcements`, `/admin/site-settings`, `/admin/ops/services` and `/admin/delegation-availability`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rPr>
          <w:tblHeader/>
        </w:trPr>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Read-only monitor of active (confirmed, still-held) seat reservations, with export. There is no approval step and no approve or reject control on the page; `Bookings.View` and `Bookings.Export` are the only permissions it carries.</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`/login/enrol-2fa`, `/forgot-password`, `/reset-password`,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rPr>
          <w:tblHeader/>
        </w:trPr>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rPr>
          <w:tblHeader/>
        </w:trPr>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Entitled (approved; either meeting flag)</w:t>
            </w:r>
          </w:p>
        </w:tc>
        <w:tc>
          <w:tcPr>
            <w:tcW w:w="2880" w:type="dxa"/>
          </w:tcPr>
          <w:p w14:paraId="218AADCA" w14:textId="77777777" w:rsidR="00EC1D65" w:rsidRDefault="00000000" w:rsidP="00055633">
            <w:r>
              <w:t>Bilateral meetings page, gated by the per-user `AllowsSpeakerMeeting` / `AllowsDelegationMeeting` flags</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Six shipped screens sit outside the catalogue: `myInterests` (the My-Area interests editor), `myMobile` (the My-Area mobile-number editor), `myDevices` (the enrolled biometric device keys at `/account/my-devices`) and `newsArticle` (the single news article opened from the news list), plus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 Exposes the auth endpoints under `/app/auth/*`: `sign-up`, `verify-email`, `resend-code`, `sign-in`, `verify-totp`, `verify-otp`, `verify-recovery-code`, `refresh`, `sign-out`, `forgot-password`, `reset-password`, plus `/app/auth/change-password` and the admin `POST /admin/admins/reset-two-factor`.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 Submission requires all mandatory fields and terms consent; the form branches by registration type and adapts identity fields Saudi-vs-non-Saudi. Saudi national ID = 10 digits starting `1`; Iqama = 10 digits starting `2`; passport free-form; a Saudi mobile must match `05XXXXXXXX` or `+9665XXXXXXXX` and an international mobile must match E.164, and a number is stored in a canonical form (separators stripped, a leading `00` rewritten to `+`, and the Saudi local spelling folded onto `+9665XXXXXXXX`) rather than exactly as typed; the ID image is a required attachment. `QrId` is minted at the `PendingApproval` to `Approved` transition, not at create. Rejection requires a recorded reason. Registration closes automatically when the administrator-set auto-close time on the `RegistrationGate` singleton passes,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t>Integration Points. Exposes `/app/account/user-profile` (plus `/countries`, `/id-image`), `/app/account/profile-types`, and admin `/admin/admins`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No admin booking approve or reject endpoint is mapped; the BookingConfirmed and BookingRejected notification kinds are retained;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exhibition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after session end (by design, not an error), and a live-phase question at a hall that carries a geofence is refused with `NOT_AT_VENUE` (403) when the asker has no arrival record;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/app/speakers/{speakerId}/meeting-requests`, the AI-assistant/FAQ and AI-summary endpoints, and admin `POST /admin/business-meetings/list`, `POST /admin/delegation-meeting-requests/list`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provider and its endpoint are configuration values, and the phase-one deployment sets them to the on-site GPT OSS 120B server reached over its OpenAI-compatible API.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persisted, neither a statistics snapshot nor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 A non-Dashboard role opening the dashboard route is refused (permission-gated); a stale live panel shows its last-updated time; a heavy figure is recomputed on every read, no snapshot being persisted.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when the administrator-set auto-close time passes.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 Exposes admin `POST /admin/system-settings/list`, `POST /admin/operation-log/list`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 `MeetingCancelled` and `MeetingRequestConfirmed` notifications; feeds the Page_014 dashboard meeting union.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append-only by application convention, nothing in the application updates or deletes a row, with no database trigger enforcing it).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rPr>
          <w:tblHeader/>
        </w:trPr>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rPr>
          <w:tblHeader/>
        </w:trPr>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Identifier of the avatar's `StoredFile` row in the App database; not a path, and deliberately not a database foreign key because the reference crosses the Identity/App split</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Keyed HMAC of the one-time code; the code itself is emailed and never stored</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rPr>
          <w:tblHeader/>
        </w:trPr>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FK to `ProfileTypes` (`FK_UserProfiles_ProfileTypes_ProfileTypeId`, Restrict)</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rPr>
          <w:tblHeader/>
        </w:trPr>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Identifier of the `StoredFiles` row that holds the YouTube live-stream URL (`FK_Sessions_StoredFiles_LiveStreamFileId`)</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Identifier of the `StoredFiles` row holding the sign-language feed URL. The feature is withdrawn from the delivered scope; the column and the Control Panel session field that writes it are retained.</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no approve or reject action exists on the API or the Control Panel.</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Removed with the approval queue; ReviewedAt folded into ReleasedAt and no review column remains</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rPr>
          <w:tblHeader/>
        </w:trPr>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FK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prevented by application convention rather than by a database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rPr>
          <w:tblHeader/>
        </w:trPr>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5.7)</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5.8)</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5.10)</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5.8)</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 The complete per-column schema for all tables (approximately 100 across both databases) is defined by the single `InitialCreate` migration per context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two nodes at 16 GB RAM, 8 vCPU and 100 GB storage, a proposed minimum confirmed with the site. All three call the API over HTTPS 443 across the internal firewall, which admits nothing else. HSA is one zone. It holds the API load balancer and four API nodes (SIMF.Api) of the same specification, the LLM server running GPT OSS 120B and the mail relay, both provided by SITE with the service, two database nodes at 64 GB RAM, 8 vCPU and 2 TB storage carrying SIMF_Identity and SIMF_App, and MinIO object storage on two nodes of 8 vCPU, 16 GB RAM and 4 TB each. There is no firewall inside HSA: the internal firewall at its boundary is the only route in.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 on a 30-second interval, conditional and cache-answered</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(RS256)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rPr>
          <w:tblHeader/>
        </w:trPr>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 in development and test, Enterprise edition in an AlwaysOn Availability Group in staging and production</w:t>
            </w:r>
          </w:p>
        </w:tc>
        <w:tc>
          <w:tcPr>
            <w:tcW w:w="2160" w:type="dxa"/>
          </w:tcPr>
          <w:p w14:paraId="09133772" w14:textId="77777777" w:rsidR="00EC1D65" w:rsidRDefault="00000000" w:rsidP="00055633">
            <w:r>
              <w:t>Relational store (two DBs)</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t>Local packages (`src/Mobile/simf_app/packages/`,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14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one framework package, Microsoft.Extensions.Identity.Stores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 use-case services live in `SIMF.Application` behind interfaces (e.g. `IJwtTokenService`, `IRequestContext`, the centralized file-store abstraction `IFileService`);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 typed config sections bound via the Options pattern; production overrides/secrets via per-host prefixed environment variables (`SIMF_API_` for the API, `SIMF_CP_` for the Control Panel, `SIMF_WEB_` for the Website and `SIMF_EDGE_` for the mobile edge, with double-underscore nesting, e.g. `SIMF_API_Jwt__SigningKey`);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^3.9.1</w:t>
            </w:r>
          </w:p>
        </w:tc>
        <w:tc>
          <w:tcPr>
            <w:tcW w:w="2880" w:type="dxa"/>
          </w:tcPr>
          <w:p w14:paraId="6AF35F81" w14:textId="77777777" w:rsidR="00EC1D65" w:rsidRDefault="00000000" w:rsidP="00055633">
            <w:r>
              <w:t>AES-256-GCM offline badge decode and ES256 device-key crypto</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